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7.xml" ContentType="application/vnd.openxmlformats-officedocument.wordprocessingml.header+xml"/>
  <Override PartName="/word/footer40.xml" ContentType="application/vnd.openxmlformats-officedocument.wordprocessingml.footer+xml"/>
  <Override PartName="/word/header8.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520F" w:rsidRDefault="000E520F">
      <w:pPr>
        <w:snapToGrid w:val="0"/>
        <w:spacing w:line="360" w:lineRule="auto"/>
        <w:jc w:val="center"/>
        <w:outlineLvl w:val="0"/>
        <w:rPr>
          <w:rFonts w:ascii="Arial Unicode MS" w:hAnsi="Arial Unicode MS" w:cs="Arial"/>
          <w:sz w:val="32"/>
        </w:rPr>
      </w:pPr>
    </w:p>
    <w:p w:rsidR="000E520F" w:rsidRDefault="000E520F">
      <w:pPr>
        <w:snapToGrid w:val="0"/>
        <w:spacing w:line="360" w:lineRule="auto"/>
        <w:jc w:val="center"/>
        <w:outlineLvl w:val="0"/>
        <w:rPr>
          <w:rFonts w:ascii="Arial Unicode MS" w:hAnsi="Arial Unicode MS" w:cs="Arial"/>
          <w:sz w:val="32"/>
        </w:rPr>
      </w:pPr>
    </w:p>
    <w:p w:rsidR="000E520F" w:rsidRDefault="000E520F">
      <w:pPr>
        <w:snapToGrid w:val="0"/>
        <w:spacing w:line="360" w:lineRule="auto"/>
        <w:jc w:val="center"/>
        <w:outlineLvl w:val="0"/>
        <w:rPr>
          <w:rFonts w:ascii="Arial Unicode MS" w:hAnsi="Arial Unicode MS" w:cs="Arial"/>
          <w:sz w:val="32"/>
        </w:rPr>
      </w:pPr>
    </w:p>
    <w:p w:rsidR="000E520F" w:rsidRDefault="000E520F">
      <w:pPr>
        <w:snapToGrid w:val="0"/>
        <w:spacing w:line="360" w:lineRule="auto"/>
        <w:jc w:val="center"/>
        <w:outlineLvl w:val="0"/>
        <w:rPr>
          <w:rFonts w:ascii="Arial Unicode MS" w:hAnsi="Arial Unicode MS" w:cs="Arial"/>
          <w:sz w:val="32"/>
        </w:rPr>
      </w:pPr>
    </w:p>
    <w:p w:rsidR="000E520F" w:rsidRDefault="000E520F">
      <w:pPr>
        <w:snapToGrid w:val="0"/>
        <w:spacing w:line="360" w:lineRule="auto"/>
        <w:jc w:val="center"/>
        <w:outlineLvl w:val="0"/>
        <w:rPr>
          <w:rFonts w:ascii="Arial Unicode MS" w:hAnsi="Arial Unicode MS" w:cs="Arial"/>
          <w:sz w:val="32"/>
        </w:rPr>
      </w:pPr>
    </w:p>
    <w:p w:rsidR="000E520F" w:rsidRDefault="00D34D5D">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博时港股通领先趋势混合型证券投资基金招募说明书</w:t>
      </w:r>
    </w:p>
    <w:p w:rsidR="000E520F" w:rsidRDefault="000E520F">
      <w:pPr>
        <w:snapToGrid w:val="0"/>
        <w:spacing w:line="360" w:lineRule="auto"/>
        <w:jc w:val="center"/>
        <w:outlineLvl w:val="0"/>
        <w:rPr>
          <w:rFonts w:ascii="Arial Unicode MS" w:hAnsi="Arial Unicode MS" w:cs="Arial"/>
          <w:b/>
          <w:sz w:val="48"/>
          <w:szCs w:val="48"/>
        </w:rPr>
      </w:pPr>
    </w:p>
    <w:p w:rsidR="000E520F" w:rsidRDefault="000E520F">
      <w:pPr>
        <w:snapToGrid w:val="0"/>
        <w:spacing w:line="360" w:lineRule="auto"/>
        <w:outlineLvl w:val="0"/>
        <w:rPr>
          <w:rFonts w:ascii="Arial Unicode MS" w:hAnsi="Arial Unicode MS" w:cs="Arial"/>
          <w:b/>
          <w:sz w:val="48"/>
          <w:szCs w:val="48"/>
        </w:rPr>
      </w:pPr>
    </w:p>
    <w:p w:rsidR="000E520F" w:rsidRDefault="000E520F">
      <w:pPr>
        <w:snapToGrid w:val="0"/>
        <w:spacing w:line="360" w:lineRule="auto"/>
        <w:outlineLvl w:val="0"/>
        <w:rPr>
          <w:rFonts w:ascii="Arial Unicode MS" w:hAnsi="Arial Unicode MS" w:cs="Arial"/>
        </w:rPr>
      </w:pPr>
    </w:p>
    <w:p w:rsidR="000E520F" w:rsidRDefault="000E520F">
      <w:pPr>
        <w:snapToGrid w:val="0"/>
        <w:spacing w:line="360" w:lineRule="auto"/>
        <w:jc w:val="center"/>
        <w:outlineLvl w:val="0"/>
        <w:rPr>
          <w:rFonts w:ascii="Arial Unicode MS" w:hAnsi="Arial Unicode MS" w:cs="Arial"/>
        </w:rPr>
      </w:pPr>
    </w:p>
    <w:p w:rsidR="000E520F" w:rsidRDefault="00D34D5D">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rsidR="000E520F" w:rsidRDefault="00D34D5D">
      <w:pPr>
        <w:snapToGrid w:val="0"/>
        <w:spacing w:line="360" w:lineRule="auto"/>
        <w:jc w:val="center"/>
        <w:rPr>
          <w:rFonts w:ascii="Arial Unicode MS" w:hAnsi="Arial Unicode MS" w:cs="Arial"/>
          <w:sz w:val="30"/>
          <w:szCs w:val="30"/>
        </w:rPr>
        <w:sectPr w:rsidR="000E520F">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基金托管人：中国民生银行股份有限公司</w:t>
      </w:r>
    </w:p>
    <w:p w:rsidR="000E520F" w:rsidRDefault="00D34D5D">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rsidR="000E520F" w:rsidRDefault="000E520F">
      <w:pPr>
        <w:autoSpaceDE w:val="0"/>
        <w:autoSpaceDN w:val="0"/>
        <w:adjustRightInd w:val="0"/>
        <w:snapToGrid w:val="0"/>
        <w:spacing w:line="360" w:lineRule="auto"/>
        <w:jc w:val="center"/>
        <w:rPr>
          <w:rFonts w:ascii="Arial Unicode MS" w:hAnsi="Arial Unicode MS" w:cs="Arial"/>
          <w:b/>
          <w:bCs/>
          <w:szCs w:val="21"/>
        </w:rPr>
      </w:pPr>
    </w:p>
    <w:p w:rsidR="000E520F" w:rsidRDefault="00D34D5D">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AF5E4B">
        <w:rPr>
          <w:rFonts w:hint="eastAsia"/>
          <w:bCs/>
          <w:szCs w:val="20"/>
        </w:rPr>
        <w:t>9</w:t>
      </w:r>
      <w:r>
        <w:rPr>
          <w:bCs/>
          <w:szCs w:val="20"/>
        </w:rPr>
        <w:t>月</w:t>
      </w:r>
      <w:r w:rsidR="00AF5E4B">
        <w:rPr>
          <w:rFonts w:hint="eastAsia"/>
          <w:bCs/>
          <w:szCs w:val="20"/>
        </w:rPr>
        <w:t>28</w:t>
      </w:r>
      <w:r>
        <w:rPr>
          <w:bCs/>
          <w:szCs w:val="20"/>
        </w:rPr>
        <w:t>日</w:t>
      </w:r>
      <w:r>
        <w:rPr>
          <w:rFonts w:hint="eastAsia"/>
          <w:bCs/>
          <w:szCs w:val="20"/>
        </w:rPr>
        <w:t>证监许可</w:t>
      </w:r>
      <w:r>
        <w:rPr>
          <w:rFonts w:hint="eastAsia"/>
          <w:bCs/>
          <w:szCs w:val="20"/>
        </w:rPr>
        <w:t>[2020]</w:t>
      </w:r>
      <w:r w:rsidR="00AF5E4B">
        <w:rPr>
          <w:rFonts w:hint="eastAsia"/>
          <w:bCs/>
          <w:szCs w:val="20"/>
        </w:rPr>
        <w:t>2463</w:t>
      </w:r>
      <w:r>
        <w:rPr>
          <w:rFonts w:hint="eastAsia"/>
          <w:bCs/>
          <w:szCs w:val="20"/>
        </w:rPr>
        <w:t>号文准予注册募集。</w:t>
      </w:r>
    </w:p>
    <w:p w:rsidR="000E520F" w:rsidRDefault="00D34D5D">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rsidR="000E520F" w:rsidRDefault="00D34D5D">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rsidR="000E520F" w:rsidRDefault="00D34D5D">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除了需要承担与境内证券投资基金类似的市场波动风险等一般投资风险之外，本基金还面临汇率风险、香港市场风险等境外证券市场投资所面临的特别投资风险。</w:t>
      </w:r>
    </w:p>
    <w:p w:rsidR="000E520F" w:rsidRDefault="00D34D5D">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rsidR="000E520F" w:rsidRDefault="00D34D5D">
      <w:pPr>
        <w:spacing w:line="360" w:lineRule="auto"/>
        <w:ind w:firstLineChars="200" w:firstLine="420"/>
        <w:rPr>
          <w:bCs/>
          <w:szCs w:val="20"/>
        </w:rPr>
      </w:pPr>
      <w:bookmarkStart w:id="0" w:name="_Hlk39666707"/>
      <w:r>
        <w:rPr>
          <w:rFonts w:hint="eastAsia"/>
          <w:bCs/>
          <w:szCs w:val="20"/>
        </w:rPr>
        <w:t>6</w:t>
      </w:r>
      <w:r>
        <w:rPr>
          <w:rFonts w:hint="eastAsia"/>
          <w:bCs/>
          <w:szCs w:val="20"/>
        </w:rPr>
        <w:t>、本基金的投资范围主要为具有良好流动性的金融工具，包括依法发行上市的股票（包括中小板、创业板及其他经中国证监会核准或注册上市的股票、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本基金可根据相关法律法规和基金合同的约定参与融资业务。</w:t>
      </w:r>
    </w:p>
    <w:bookmarkEnd w:id="0"/>
    <w:p w:rsidR="000E520F" w:rsidRDefault="00D34D5D">
      <w:pPr>
        <w:spacing w:line="360" w:lineRule="auto"/>
        <w:ind w:firstLineChars="200" w:firstLine="420"/>
        <w:rPr>
          <w:bCs/>
          <w:szCs w:val="20"/>
        </w:rPr>
      </w:pPr>
      <w:r>
        <w:rPr>
          <w:rFonts w:hint="eastAsia"/>
          <w:bCs/>
          <w:szCs w:val="20"/>
        </w:rPr>
        <w:t>本基金基金资产主要投资于港股，会面临港股通机制下因投资环境、投资标的、市场制度以及交易规则等差异带来的特有风险，包括港股市场股价波动较大的风险（港股市场实行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w:t>
      </w:r>
      <w:bookmarkStart w:id="1" w:name="_GoBack"/>
      <w:bookmarkEnd w:id="1"/>
      <w:r>
        <w:rPr>
          <w:rFonts w:hint="eastAsia"/>
          <w:bCs/>
          <w:szCs w:val="20"/>
        </w:rPr>
        <w:t>造成损失）、港股通机制下交易日不连贯可</w:t>
      </w:r>
      <w:r>
        <w:rPr>
          <w:rFonts w:hint="eastAsia"/>
          <w:bCs/>
          <w:szCs w:val="20"/>
        </w:rPr>
        <w:lastRenderedPageBreak/>
        <w:t>能带来的风险（在内地开市香港休市的情形下，港股通不能正常交易，港股不能及时卖出，可能带来一定的流动性风险）等。</w:t>
      </w:r>
    </w:p>
    <w:p w:rsidR="000E520F" w:rsidRDefault="00D34D5D">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rsidR="000E520F" w:rsidRDefault="00D34D5D">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rsidR="000E520F" w:rsidRDefault="00D34D5D">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rsidR="000E520F" w:rsidRDefault="00D34D5D">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rsidR="000E520F" w:rsidRDefault="00D34D5D">
      <w:pPr>
        <w:spacing w:line="360" w:lineRule="auto"/>
        <w:ind w:firstLineChars="200" w:firstLine="420"/>
        <w:rPr>
          <w:bCs/>
          <w:szCs w:val="20"/>
        </w:rPr>
      </w:pPr>
      <w:r>
        <w:rPr>
          <w:rFonts w:hint="eastAsia"/>
          <w:bCs/>
          <w:szCs w:val="20"/>
        </w:rPr>
        <w:t>7</w:t>
      </w:r>
      <w:r>
        <w:rPr>
          <w:rFonts w:hint="eastAsia"/>
          <w:bCs/>
          <w:szCs w:val="20"/>
        </w:rPr>
        <w:t>、本基金的投资组合比例为：本基金的股票资产占基金资产的</w:t>
      </w:r>
      <w:r>
        <w:rPr>
          <w:rFonts w:hint="eastAsia"/>
          <w:bCs/>
          <w:szCs w:val="20"/>
        </w:rPr>
        <w:t>60%-95%</w:t>
      </w:r>
      <w:r>
        <w:rPr>
          <w:rFonts w:hint="eastAsia"/>
          <w:bCs/>
          <w:szCs w:val="20"/>
        </w:rPr>
        <w:t>，投资于港股通标的股票的比例不低于非现金基金资产的</w:t>
      </w:r>
      <w:r>
        <w:rPr>
          <w:rFonts w:hint="eastAsia"/>
          <w:bCs/>
          <w:szCs w:val="20"/>
        </w:rPr>
        <w:t>80%</w:t>
      </w:r>
      <w:r>
        <w:rPr>
          <w:rFonts w:hint="eastAsia"/>
          <w:bCs/>
          <w:szCs w:val="20"/>
        </w:rPr>
        <w:t>。其中，投资于本基金界定的领先趋势主题相关证券的比例不低于非现金基金资产的</w:t>
      </w:r>
      <w:r>
        <w:rPr>
          <w:rFonts w:hint="eastAsia"/>
          <w:bCs/>
          <w:szCs w:val="20"/>
        </w:rPr>
        <w:t>80%</w:t>
      </w:r>
      <w:r>
        <w:rPr>
          <w:rFonts w:hint="eastAsia"/>
          <w:bCs/>
          <w:szCs w:val="20"/>
        </w:rPr>
        <w:t>。每个交易日日终在扣除股指期货合约、股票期权合约、国债期货合约所需缴纳的交易保证金后，现金或到期日在一年以内的政府债券不低于基金资产净值的</w:t>
      </w:r>
      <w:r>
        <w:rPr>
          <w:rFonts w:hint="eastAsia"/>
          <w:bCs/>
          <w:szCs w:val="20"/>
        </w:rPr>
        <w:t>5%</w:t>
      </w:r>
      <w:r>
        <w:rPr>
          <w:rFonts w:hint="eastAsia"/>
          <w:bCs/>
          <w:szCs w:val="20"/>
        </w:rPr>
        <w:t>。前述现金不包括结算备付金、存出保证金、应收申购款等。</w:t>
      </w:r>
      <w:bookmarkStart w:id="2" w:name="_Hlk39670649"/>
    </w:p>
    <w:p w:rsidR="000E520F" w:rsidRDefault="00D34D5D">
      <w:pPr>
        <w:spacing w:line="360" w:lineRule="auto"/>
        <w:ind w:firstLineChars="200" w:firstLine="420"/>
        <w:rPr>
          <w:bCs/>
          <w:szCs w:val="20"/>
        </w:rPr>
      </w:pPr>
      <w:r>
        <w:rPr>
          <w:rFonts w:hint="eastAsia"/>
          <w:bCs/>
          <w:szCs w:val="20"/>
        </w:rPr>
        <w:t>8</w:t>
      </w:r>
      <w:r>
        <w:rPr>
          <w:rFonts w:hint="eastAsia"/>
          <w:bCs/>
          <w:szCs w:val="20"/>
        </w:rPr>
        <w:t>、</w:t>
      </w:r>
      <w:r>
        <w:rPr>
          <w:rFonts w:ascii="宋体" w:hAnsi="宋体" w:cs="Arial" w:hint="eastAsia"/>
          <w:szCs w:val="21"/>
        </w:rPr>
        <w:t>基金存续期内，连续50个工作日出现基金份额持有人数量不满二百人或者基金资产净值低于五千万元情形的，基金合同终止，不需召开基金份额持有人大会。因此本基金有面临自动清算的风险。</w:t>
      </w:r>
    </w:p>
    <w:p w:rsidR="000E520F" w:rsidRDefault="00D34D5D">
      <w:pPr>
        <w:spacing w:line="360" w:lineRule="auto"/>
        <w:ind w:firstLineChars="200" w:firstLine="420"/>
        <w:rPr>
          <w:bCs/>
          <w:szCs w:val="20"/>
        </w:rPr>
      </w:pPr>
      <w:r>
        <w:rPr>
          <w:rFonts w:hint="eastAsia"/>
          <w:bCs/>
          <w:szCs w:val="20"/>
        </w:rPr>
        <w:t>9</w:t>
      </w:r>
      <w:r>
        <w:rPr>
          <w:rFonts w:hint="eastAsia"/>
          <w:bCs/>
          <w:szCs w:val="20"/>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w:t>
      </w:r>
      <w:r>
        <w:t>投资者不得办理侧袋账户份额的申购</w:t>
      </w:r>
      <w:r>
        <w:rPr>
          <w:rFonts w:hint="eastAsia"/>
          <w:bCs/>
          <w:szCs w:val="20"/>
        </w:rPr>
        <w:t>赎回等业务。请基金份额持有人仔细阅读相关内容并关注本基金启用侧袋机制时的特定风险。</w:t>
      </w:r>
    </w:p>
    <w:bookmarkEnd w:id="2"/>
    <w:p w:rsidR="000E520F" w:rsidRDefault="00D34D5D">
      <w:pPr>
        <w:spacing w:line="360" w:lineRule="auto"/>
        <w:ind w:firstLineChars="200" w:firstLine="420"/>
        <w:rPr>
          <w:bCs/>
          <w:szCs w:val="20"/>
        </w:rPr>
      </w:pPr>
      <w:r>
        <w:rPr>
          <w:rFonts w:hint="eastAsia"/>
          <w:bCs/>
          <w:szCs w:val="20"/>
        </w:rPr>
        <w:t>10</w:t>
      </w:r>
      <w:r>
        <w:rPr>
          <w:rFonts w:hint="eastAsia"/>
          <w:bCs/>
          <w:szCs w:val="20"/>
        </w:rPr>
        <w:t>、本基金发售面值为人民币</w:t>
      </w:r>
      <w:r>
        <w:rPr>
          <w:rFonts w:hint="eastAsia"/>
          <w:bCs/>
          <w:szCs w:val="20"/>
        </w:rPr>
        <w:t>1.00</w:t>
      </w:r>
      <w:r>
        <w:rPr>
          <w:rFonts w:hint="eastAsia"/>
          <w:bCs/>
          <w:szCs w:val="20"/>
        </w:rPr>
        <w:t>元。在市场波动因素影响下，本基金净值可能低于初始面值，本基金投资者有可能出现亏损。</w:t>
      </w:r>
    </w:p>
    <w:p w:rsidR="000E520F" w:rsidRDefault="00D34D5D">
      <w:pPr>
        <w:spacing w:line="360" w:lineRule="auto"/>
        <w:ind w:firstLineChars="200" w:firstLine="420"/>
        <w:rPr>
          <w:bCs/>
          <w:szCs w:val="20"/>
        </w:rPr>
      </w:pPr>
      <w:r>
        <w:rPr>
          <w:rFonts w:hint="eastAsia"/>
          <w:bCs/>
          <w:szCs w:val="20"/>
        </w:rPr>
        <w:t>11</w:t>
      </w:r>
      <w:r>
        <w:rPr>
          <w:rFonts w:hint="eastAsia"/>
          <w:bCs/>
          <w:szCs w:val="20"/>
        </w:rPr>
        <w:t>、基金的过往业绩并不预示其未来表现，基金管理人管理的其他基金的业绩也不构成对本基金业绩表现的保证。</w:t>
      </w:r>
    </w:p>
    <w:p w:rsidR="000E520F" w:rsidRDefault="00D34D5D">
      <w:pPr>
        <w:spacing w:line="360" w:lineRule="auto"/>
        <w:ind w:firstLineChars="200" w:firstLine="420"/>
        <w:rPr>
          <w:bCs/>
          <w:szCs w:val="20"/>
        </w:rPr>
      </w:pPr>
      <w:r>
        <w:rPr>
          <w:rFonts w:hint="eastAsia"/>
          <w:bCs/>
          <w:szCs w:val="20"/>
        </w:rPr>
        <w:t>12</w:t>
      </w:r>
      <w:r>
        <w:rPr>
          <w:rFonts w:hint="eastAsia"/>
          <w:bCs/>
          <w:szCs w:val="20"/>
        </w:rPr>
        <w:t>、</w:t>
      </w:r>
      <w:r>
        <w:rPr>
          <w:bCs/>
          <w:szCs w:val="20"/>
        </w:rPr>
        <w:t>基金管理人依照恪尽职守、诚实信用、谨慎勤勉的原则管理和运用基金财产，但不</w:t>
      </w:r>
      <w:r>
        <w:rPr>
          <w:bCs/>
          <w:szCs w:val="20"/>
        </w:rPr>
        <w:lastRenderedPageBreak/>
        <w:t>保证基金一定盈利，也不保证最低收益。</w:t>
      </w:r>
    </w:p>
    <w:p w:rsidR="000E520F" w:rsidRDefault="00D34D5D">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rsidR="000E520F" w:rsidRDefault="00D34D5D">
      <w:pPr>
        <w:pStyle w:val="14"/>
        <w:rPr>
          <w:rFonts w:asciiTheme="minorHAnsi" w:eastAsiaTheme="minorEastAsia" w:hAnsiTheme="minorHAnsi" w:cstheme="minorBidi"/>
          <w:caps w:val="0"/>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Pr>
            <w:rStyle w:val="aff8"/>
            <w:rFonts w:ascii="Arial Unicode MS" w:hAnsi="Arial Unicode MS" w:cs="Arial" w:hint="eastAsia"/>
            <w:b/>
            <w:bCs/>
          </w:rPr>
          <w:t>第一部分</w:t>
        </w:r>
        <w:r>
          <w:rPr>
            <w:rStyle w:val="aff8"/>
            <w:rFonts w:ascii="Arial Unicode MS" w:hAnsi="Arial Unicode MS" w:cs="Arial"/>
            <w:b/>
            <w:bCs/>
          </w:rPr>
          <w:t xml:space="preserve">  </w:t>
        </w:r>
        <w:r>
          <w:rPr>
            <w:rStyle w:val="aff8"/>
            <w:rFonts w:ascii="Arial Unicode MS" w:hAnsi="Arial Unicode MS" w:cs="Arial" w:hint="eastAsia"/>
            <w:b/>
            <w:bCs/>
          </w:rPr>
          <w:t>绪言</w:t>
        </w:r>
        <w:r>
          <w:tab/>
        </w:r>
        <w:r>
          <w:rPr>
            <w:rFonts w:hint="eastAsia"/>
          </w:rPr>
          <w:t>1-</w:t>
        </w:r>
        <w:r>
          <w:fldChar w:fldCharType="begin"/>
        </w:r>
        <w:r>
          <w:instrText xml:space="preserve"> PAGEREF _Toc47622413 \h </w:instrText>
        </w:r>
        <w:r>
          <w:fldChar w:fldCharType="separate"/>
        </w:r>
        <w:r w:rsidR="00205DE3">
          <w:rPr>
            <w:noProof/>
          </w:rPr>
          <w:t>1</w:t>
        </w:r>
        <w:r>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14" w:history="1">
        <w:r w:rsidR="00D34D5D">
          <w:rPr>
            <w:rStyle w:val="aff8"/>
            <w:rFonts w:ascii="Arial Unicode MS" w:hAnsi="Arial Unicode MS" w:cs="Arial" w:hint="eastAsia"/>
            <w:b/>
            <w:bCs/>
          </w:rPr>
          <w:t>第二部分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释义</w:t>
        </w:r>
        <w:r w:rsidR="00D34D5D">
          <w:tab/>
        </w:r>
        <w:r w:rsidR="00D34D5D">
          <w:rPr>
            <w:rFonts w:hint="eastAsia"/>
          </w:rPr>
          <w:t>2-</w:t>
        </w:r>
        <w:r w:rsidR="00D34D5D">
          <w:fldChar w:fldCharType="begin"/>
        </w:r>
        <w:r w:rsidR="00D34D5D">
          <w:instrText xml:space="preserve"> PAGEREF _Toc47622414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15" w:history="1">
        <w:r w:rsidR="00D34D5D">
          <w:rPr>
            <w:rStyle w:val="aff8"/>
            <w:rFonts w:ascii="Arial Unicode MS" w:hAnsi="Arial Unicode MS" w:cs="Arial" w:hint="eastAsia"/>
            <w:b/>
            <w:bCs/>
          </w:rPr>
          <w:t>第三部分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基金管理人</w:t>
        </w:r>
        <w:r w:rsidR="00D34D5D">
          <w:tab/>
        </w:r>
        <w:r w:rsidR="00D34D5D">
          <w:rPr>
            <w:rFonts w:hint="eastAsia"/>
          </w:rPr>
          <w:t>3-</w:t>
        </w:r>
        <w:r w:rsidR="00D34D5D">
          <w:fldChar w:fldCharType="begin"/>
        </w:r>
        <w:r w:rsidR="00D34D5D">
          <w:instrText xml:space="preserve"> PAGEREF _Toc47622415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16" w:history="1">
        <w:r w:rsidR="00D34D5D">
          <w:rPr>
            <w:rStyle w:val="aff8"/>
            <w:rFonts w:ascii="Arial Unicode MS" w:hAnsi="Arial Unicode MS" w:cs="Arial" w:hint="eastAsia"/>
            <w:b/>
            <w:bCs/>
          </w:rPr>
          <w:t>第四部分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基金托管人</w:t>
        </w:r>
        <w:r w:rsidR="00D34D5D">
          <w:tab/>
        </w:r>
        <w:r w:rsidR="00D34D5D">
          <w:rPr>
            <w:rFonts w:hint="eastAsia"/>
          </w:rPr>
          <w:t>4-</w:t>
        </w:r>
        <w:r w:rsidR="00D34D5D">
          <w:fldChar w:fldCharType="begin"/>
        </w:r>
        <w:r w:rsidR="00D34D5D">
          <w:instrText xml:space="preserve"> PAGEREF _Toc47622416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17" w:history="1">
        <w:r w:rsidR="00D34D5D">
          <w:rPr>
            <w:rStyle w:val="aff8"/>
            <w:rFonts w:ascii="Arial Unicode MS" w:hAnsi="Arial Unicode MS" w:cs="Arial" w:hint="eastAsia"/>
            <w:b/>
            <w:bCs/>
          </w:rPr>
          <w:t>第五部分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相关服务机构</w:t>
        </w:r>
        <w:r w:rsidR="00D34D5D">
          <w:tab/>
        </w:r>
        <w:r w:rsidR="00D34D5D">
          <w:rPr>
            <w:rFonts w:hint="eastAsia"/>
          </w:rPr>
          <w:t>5-1</w:t>
        </w:r>
      </w:hyperlink>
    </w:p>
    <w:p w:rsidR="000E520F" w:rsidRDefault="00CC55D2">
      <w:pPr>
        <w:pStyle w:val="14"/>
        <w:rPr>
          <w:rFonts w:asciiTheme="minorHAnsi" w:eastAsiaTheme="minorEastAsia" w:hAnsiTheme="minorHAnsi" w:cstheme="minorBidi"/>
          <w:caps w:val="0"/>
          <w:sz w:val="21"/>
          <w:szCs w:val="22"/>
        </w:rPr>
      </w:pPr>
      <w:hyperlink w:anchor="_Toc47622418" w:history="1">
        <w:r w:rsidR="00D34D5D">
          <w:rPr>
            <w:rStyle w:val="aff8"/>
            <w:rFonts w:ascii="Arial Unicode MS" w:hAnsi="Arial Unicode MS" w:cs="Arial" w:hint="eastAsia"/>
            <w:b/>
            <w:bCs/>
          </w:rPr>
          <w:t>第六部分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基金份额的发售</w:t>
        </w:r>
        <w:r w:rsidR="00D34D5D">
          <w:tab/>
        </w:r>
        <w:r w:rsidR="00D34D5D">
          <w:rPr>
            <w:rFonts w:hint="eastAsia"/>
          </w:rPr>
          <w:t>6-</w:t>
        </w:r>
        <w:r w:rsidR="00D34D5D">
          <w:fldChar w:fldCharType="begin"/>
        </w:r>
        <w:r w:rsidR="00D34D5D">
          <w:instrText xml:space="preserve"> PAGEREF _Toc47622418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19" w:history="1">
        <w:r w:rsidR="00D34D5D">
          <w:rPr>
            <w:rStyle w:val="aff8"/>
            <w:rFonts w:ascii="Arial Unicode MS" w:hAnsi="Arial Unicode MS" w:cs="Arial" w:hint="eastAsia"/>
            <w:b/>
            <w:bCs/>
          </w:rPr>
          <w:t>第七部分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基金合同的生效</w:t>
        </w:r>
        <w:r w:rsidR="00D34D5D">
          <w:tab/>
        </w:r>
        <w:r w:rsidR="00D34D5D">
          <w:rPr>
            <w:rFonts w:hint="eastAsia"/>
          </w:rPr>
          <w:t>7-</w:t>
        </w:r>
        <w:r w:rsidR="00D34D5D">
          <w:fldChar w:fldCharType="begin"/>
        </w:r>
        <w:r w:rsidR="00D34D5D">
          <w:instrText xml:space="preserve"> PAGEREF _Toc47622419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0" w:history="1">
        <w:r w:rsidR="00D34D5D">
          <w:rPr>
            <w:rStyle w:val="aff8"/>
            <w:rFonts w:ascii="Arial Unicode MS" w:hAnsi="Arial Unicode MS" w:cs="Arial" w:hint="eastAsia"/>
            <w:b/>
            <w:bCs/>
          </w:rPr>
          <w:t>第八部分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基金份额的申购与赎回</w:t>
        </w:r>
        <w:r w:rsidR="00D34D5D">
          <w:tab/>
        </w:r>
        <w:r w:rsidR="00D34D5D">
          <w:rPr>
            <w:rFonts w:hint="eastAsia"/>
          </w:rPr>
          <w:t>8-</w:t>
        </w:r>
        <w:r w:rsidR="00D34D5D">
          <w:fldChar w:fldCharType="begin"/>
        </w:r>
        <w:r w:rsidR="00D34D5D">
          <w:instrText xml:space="preserve"> PAGEREF _Toc47622420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1" w:history="1">
        <w:r w:rsidR="00D34D5D">
          <w:rPr>
            <w:rStyle w:val="aff8"/>
            <w:rFonts w:ascii="Arial Unicode MS" w:hAnsi="Arial Unicode MS" w:cs="Arial" w:hint="eastAsia"/>
            <w:b/>
            <w:bCs/>
          </w:rPr>
          <w:t>第九部分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基金的投资</w:t>
        </w:r>
        <w:r w:rsidR="00D34D5D">
          <w:tab/>
        </w:r>
        <w:r w:rsidR="00D34D5D">
          <w:rPr>
            <w:rFonts w:hint="eastAsia"/>
          </w:rPr>
          <w:t>9-</w:t>
        </w:r>
        <w:r w:rsidR="00D34D5D">
          <w:fldChar w:fldCharType="begin"/>
        </w:r>
        <w:r w:rsidR="00D34D5D">
          <w:instrText xml:space="preserve"> PAGEREF _Toc47622421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2" w:history="1">
        <w:r w:rsidR="00D34D5D">
          <w:rPr>
            <w:rStyle w:val="aff8"/>
            <w:rFonts w:ascii="Arial Unicode MS" w:hAnsi="Arial Unicode MS" w:cs="Arial" w:hint="eastAsia"/>
            <w:b/>
            <w:bCs/>
          </w:rPr>
          <w:t>第十部分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基金的财产</w:t>
        </w:r>
        <w:r w:rsidR="00D34D5D">
          <w:tab/>
        </w:r>
        <w:r w:rsidR="00D34D5D">
          <w:rPr>
            <w:rFonts w:hint="eastAsia"/>
          </w:rPr>
          <w:t>10-</w:t>
        </w:r>
        <w:r w:rsidR="009C514B">
          <w:t>1</w:t>
        </w:r>
      </w:hyperlink>
    </w:p>
    <w:p w:rsidR="000E520F" w:rsidRDefault="00CC55D2">
      <w:pPr>
        <w:pStyle w:val="14"/>
        <w:rPr>
          <w:rFonts w:asciiTheme="minorHAnsi" w:eastAsiaTheme="minorEastAsia" w:hAnsiTheme="minorHAnsi" w:cstheme="minorBidi"/>
          <w:caps w:val="0"/>
          <w:sz w:val="21"/>
          <w:szCs w:val="22"/>
        </w:rPr>
      </w:pPr>
      <w:hyperlink w:anchor="_Toc47622423" w:history="1">
        <w:r w:rsidR="00D34D5D">
          <w:rPr>
            <w:rStyle w:val="aff8"/>
            <w:rFonts w:ascii="Arial Unicode MS" w:hAnsi="Arial Unicode MS" w:cs="Arial" w:hint="eastAsia"/>
            <w:b/>
            <w:bCs/>
          </w:rPr>
          <w:t>第十一部分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基金资产的估值</w:t>
        </w:r>
        <w:r w:rsidR="00D34D5D">
          <w:tab/>
        </w:r>
        <w:r w:rsidR="00D34D5D">
          <w:rPr>
            <w:rFonts w:hint="eastAsia"/>
          </w:rPr>
          <w:t>11-</w:t>
        </w:r>
        <w:r w:rsidR="00D34D5D">
          <w:fldChar w:fldCharType="begin"/>
        </w:r>
        <w:r w:rsidR="00D34D5D">
          <w:instrText xml:space="preserve"> PAGEREF _Toc47622423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4" w:history="1">
        <w:r w:rsidR="00D34D5D">
          <w:rPr>
            <w:rStyle w:val="aff8"/>
            <w:rFonts w:ascii="Arial Unicode MS" w:hAnsi="Arial Unicode MS" w:cs="Arial" w:hint="eastAsia"/>
            <w:b/>
            <w:bCs/>
          </w:rPr>
          <w:t>第十二部分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基金的收益分配</w:t>
        </w:r>
        <w:r w:rsidR="00D34D5D">
          <w:tab/>
        </w:r>
        <w:r w:rsidR="00D34D5D">
          <w:rPr>
            <w:rFonts w:hint="eastAsia"/>
          </w:rPr>
          <w:t>12-</w:t>
        </w:r>
        <w:r w:rsidR="00D34D5D">
          <w:fldChar w:fldCharType="begin"/>
        </w:r>
        <w:r w:rsidR="00D34D5D">
          <w:instrText xml:space="preserve"> PAGEREF _Toc47622424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5" w:history="1">
        <w:r w:rsidR="00D34D5D">
          <w:rPr>
            <w:rStyle w:val="aff8"/>
            <w:rFonts w:ascii="Arial Unicode MS" w:hAnsi="Arial Unicode MS" w:cs="Arial" w:hint="eastAsia"/>
            <w:b/>
            <w:bCs/>
          </w:rPr>
          <w:t>第十三部分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基金费用与税收</w:t>
        </w:r>
        <w:r w:rsidR="00D34D5D">
          <w:tab/>
        </w:r>
        <w:r w:rsidR="00D34D5D">
          <w:rPr>
            <w:rFonts w:hint="eastAsia"/>
          </w:rPr>
          <w:t>13-</w:t>
        </w:r>
        <w:r w:rsidR="00D34D5D">
          <w:fldChar w:fldCharType="begin"/>
        </w:r>
        <w:r w:rsidR="00D34D5D">
          <w:instrText xml:space="preserve"> PAGEREF _Toc47622425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6" w:history="1">
        <w:r w:rsidR="00D34D5D">
          <w:rPr>
            <w:rStyle w:val="aff8"/>
            <w:rFonts w:ascii="Arial Unicode MS" w:hAnsi="Arial Unicode MS" w:cs="Arial" w:hint="eastAsia"/>
            <w:b/>
            <w:bCs/>
          </w:rPr>
          <w:t>第十四部分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基金的会计与审计</w:t>
        </w:r>
        <w:r w:rsidR="00D34D5D">
          <w:tab/>
        </w:r>
        <w:r w:rsidR="00D34D5D">
          <w:rPr>
            <w:rFonts w:hint="eastAsia"/>
          </w:rPr>
          <w:t>14-</w:t>
        </w:r>
        <w:r w:rsidR="00D34D5D">
          <w:fldChar w:fldCharType="begin"/>
        </w:r>
        <w:r w:rsidR="00D34D5D">
          <w:instrText xml:space="preserve"> PAGEREF _Toc47622426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7" w:history="1">
        <w:r w:rsidR="00D34D5D">
          <w:rPr>
            <w:rStyle w:val="aff8"/>
            <w:rFonts w:ascii="Arial Unicode MS" w:hAnsi="Arial Unicode MS" w:hint="eastAsia"/>
            <w:b/>
          </w:rPr>
          <w:t>第十五部分</w:t>
        </w:r>
        <w:r w:rsidR="00D34D5D">
          <w:rPr>
            <w:rStyle w:val="aff8"/>
            <w:rFonts w:ascii="Arial Unicode MS" w:hAnsi="Arial Unicode MS"/>
            <w:b/>
          </w:rPr>
          <w:t xml:space="preserve">  </w:t>
        </w:r>
        <w:r w:rsidR="00D34D5D">
          <w:rPr>
            <w:rStyle w:val="aff8"/>
            <w:rFonts w:ascii="Arial Unicode MS" w:hAnsi="Arial Unicode MS" w:hint="eastAsia"/>
            <w:b/>
          </w:rPr>
          <w:t>基金的信息披露</w:t>
        </w:r>
        <w:r w:rsidR="00D34D5D">
          <w:tab/>
        </w:r>
        <w:r w:rsidR="00D34D5D">
          <w:rPr>
            <w:rFonts w:hint="eastAsia"/>
          </w:rPr>
          <w:t>15-</w:t>
        </w:r>
        <w:r w:rsidR="00D34D5D">
          <w:fldChar w:fldCharType="begin"/>
        </w:r>
        <w:r w:rsidR="00D34D5D">
          <w:instrText xml:space="preserve"> PAGEREF _Toc47622427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8" w:history="1">
        <w:r w:rsidR="00D34D5D">
          <w:rPr>
            <w:rStyle w:val="aff8"/>
            <w:rFonts w:ascii="Arial Unicode MS" w:hAnsi="Arial Unicode MS" w:cs="Arial" w:hint="eastAsia"/>
            <w:b/>
            <w:bCs/>
          </w:rPr>
          <w:t>第十六部分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侧袋机制</w:t>
        </w:r>
        <w:r w:rsidR="00D34D5D">
          <w:tab/>
        </w:r>
        <w:r w:rsidR="00D34D5D">
          <w:rPr>
            <w:rFonts w:hint="eastAsia"/>
          </w:rPr>
          <w:t>16-</w:t>
        </w:r>
        <w:r w:rsidR="00D34D5D">
          <w:fldChar w:fldCharType="begin"/>
        </w:r>
        <w:r w:rsidR="00D34D5D">
          <w:instrText xml:space="preserve"> PAGEREF _Toc47622428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29" w:history="1">
        <w:r w:rsidR="00D34D5D">
          <w:rPr>
            <w:rStyle w:val="aff8"/>
            <w:rFonts w:ascii="Arial Unicode MS" w:hAnsi="Arial Unicode MS" w:cs="Arial" w:hint="eastAsia"/>
            <w:b/>
            <w:bCs/>
          </w:rPr>
          <w:t>第十七部分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风险揭示</w:t>
        </w:r>
        <w:r w:rsidR="00D34D5D">
          <w:tab/>
        </w:r>
        <w:r w:rsidR="00D34D5D">
          <w:rPr>
            <w:rFonts w:hint="eastAsia"/>
          </w:rPr>
          <w:t>17-1</w:t>
        </w:r>
      </w:hyperlink>
    </w:p>
    <w:p w:rsidR="000E520F" w:rsidRDefault="00CC55D2">
      <w:pPr>
        <w:pStyle w:val="14"/>
        <w:rPr>
          <w:rFonts w:asciiTheme="minorHAnsi" w:eastAsiaTheme="minorEastAsia" w:hAnsiTheme="minorHAnsi" w:cstheme="minorBidi"/>
          <w:caps w:val="0"/>
          <w:sz w:val="21"/>
          <w:szCs w:val="22"/>
        </w:rPr>
      </w:pPr>
      <w:hyperlink w:anchor="_Toc47622430" w:history="1">
        <w:r w:rsidR="00D34D5D">
          <w:rPr>
            <w:rStyle w:val="aff8"/>
            <w:rFonts w:ascii="Arial Unicode MS" w:hAnsi="Arial Unicode MS" w:cs="Arial" w:hint="eastAsia"/>
            <w:b/>
            <w:bCs/>
          </w:rPr>
          <w:t>第十八部分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基金合同的变更、终止与基金财产的清算</w:t>
        </w:r>
        <w:r w:rsidR="00D34D5D">
          <w:tab/>
        </w:r>
        <w:r w:rsidR="00D34D5D">
          <w:rPr>
            <w:rFonts w:hint="eastAsia"/>
          </w:rPr>
          <w:t>18-</w:t>
        </w:r>
        <w:r w:rsidR="00D34D5D">
          <w:fldChar w:fldCharType="begin"/>
        </w:r>
        <w:r w:rsidR="00D34D5D">
          <w:instrText xml:space="preserve"> PAGEREF _Toc47622430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31" w:history="1">
        <w:r w:rsidR="00D34D5D">
          <w:rPr>
            <w:rStyle w:val="aff8"/>
            <w:rFonts w:ascii="Arial Unicode MS" w:hAnsi="Arial Unicode MS" w:cs="Arial" w:hint="eastAsia"/>
            <w:b/>
            <w:bCs/>
          </w:rPr>
          <w:t>第十九部分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基金合同的内容摘要</w:t>
        </w:r>
        <w:r w:rsidR="00D34D5D">
          <w:tab/>
        </w:r>
        <w:r w:rsidR="00D34D5D">
          <w:rPr>
            <w:rFonts w:hint="eastAsia"/>
          </w:rPr>
          <w:t>19-</w:t>
        </w:r>
        <w:r w:rsidR="00D34D5D">
          <w:fldChar w:fldCharType="begin"/>
        </w:r>
        <w:r w:rsidR="00D34D5D">
          <w:instrText xml:space="preserve"> PAGEREF _Toc47622431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32" w:history="1">
        <w:r w:rsidR="00D34D5D">
          <w:rPr>
            <w:rStyle w:val="aff8"/>
            <w:rFonts w:ascii="Arial Unicode MS" w:hAnsi="Arial Unicode MS" w:cs="Arial" w:hint="eastAsia"/>
            <w:b/>
            <w:bCs/>
          </w:rPr>
          <w:t>第二十部分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基金托管协议的内容摘要</w:t>
        </w:r>
        <w:r w:rsidR="00D34D5D">
          <w:tab/>
        </w:r>
        <w:r w:rsidR="00D34D5D">
          <w:rPr>
            <w:rFonts w:hint="eastAsia"/>
          </w:rPr>
          <w:t>20-</w:t>
        </w:r>
        <w:r w:rsidR="00D34D5D">
          <w:fldChar w:fldCharType="begin"/>
        </w:r>
        <w:r w:rsidR="00D34D5D">
          <w:instrText xml:space="preserve"> PAGEREF _Toc47622432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33" w:history="1">
        <w:r w:rsidR="00D34D5D">
          <w:rPr>
            <w:rStyle w:val="aff8"/>
            <w:rFonts w:ascii="Arial Unicode MS" w:hAnsi="Arial Unicode MS" w:cs="Arial" w:hint="eastAsia"/>
            <w:b/>
            <w:bCs/>
          </w:rPr>
          <w:t>第二十一部分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对基金份额持有人的服务</w:t>
        </w:r>
        <w:r w:rsidR="00D34D5D">
          <w:tab/>
        </w:r>
        <w:r w:rsidR="00D34D5D">
          <w:rPr>
            <w:rFonts w:hint="eastAsia"/>
          </w:rPr>
          <w:t>21-</w:t>
        </w:r>
        <w:r w:rsidR="00D34D5D">
          <w:fldChar w:fldCharType="begin"/>
        </w:r>
        <w:r w:rsidR="00D34D5D">
          <w:instrText xml:space="preserve"> PAGEREF _Toc47622433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34" w:history="1">
        <w:r w:rsidR="00D34D5D">
          <w:rPr>
            <w:rStyle w:val="aff8"/>
            <w:rFonts w:ascii="Arial Unicode MS" w:hAnsi="Arial Unicode MS" w:cs="Arial" w:hint="eastAsia"/>
            <w:b/>
            <w:bCs/>
          </w:rPr>
          <w:t>第二十二部分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招募说明书的存放及查阅方式</w:t>
        </w:r>
        <w:r w:rsidR="00D34D5D">
          <w:tab/>
        </w:r>
        <w:r w:rsidR="00D34D5D">
          <w:rPr>
            <w:rFonts w:hint="eastAsia"/>
          </w:rPr>
          <w:t>22-</w:t>
        </w:r>
        <w:r w:rsidR="00D34D5D">
          <w:fldChar w:fldCharType="begin"/>
        </w:r>
        <w:r w:rsidR="00D34D5D">
          <w:instrText xml:space="preserve"> PAGEREF _Toc47622434 \h </w:instrText>
        </w:r>
        <w:r w:rsidR="00D34D5D">
          <w:fldChar w:fldCharType="separate"/>
        </w:r>
        <w:r w:rsidR="00205DE3">
          <w:rPr>
            <w:noProof/>
          </w:rPr>
          <w:t>1</w:t>
        </w:r>
        <w:r w:rsidR="00D34D5D">
          <w:fldChar w:fldCharType="end"/>
        </w:r>
      </w:hyperlink>
    </w:p>
    <w:p w:rsidR="000E520F" w:rsidRDefault="00CC55D2">
      <w:pPr>
        <w:pStyle w:val="14"/>
        <w:rPr>
          <w:rFonts w:asciiTheme="minorHAnsi" w:eastAsiaTheme="minorEastAsia" w:hAnsiTheme="minorHAnsi" w:cstheme="minorBidi"/>
          <w:caps w:val="0"/>
          <w:sz w:val="21"/>
          <w:szCs w:val="22"/>
        </w:rPr>
      </w:pPr>
      <w:hyperlink w:anchor="_Toc47622435" w:history="1">
        <w:r w:rsidR="00D34D5D">
          <w:rPr>
            <w:rStyle w:val="aff8"/>
            <w:rFonts w:ascii="Arial Unicode MS" w:hAnsi="Arial Unicode MS" w:cs="Arial" w:hint="eastAsia"/>
            <w:b/>
            <w:bCs/>
          </w:rPr>
          <w:t>第二十三部分</w:t>
        </w:r>
        <w:r w:rsidR="00D34D5D">
          <w:rPr>
            <w:rStyle w:val="aff8"/>
            <w:rFonts w:ascii="Arial Unicode MS" w:hAnsi="Arial Unicode MS" w:cs="Arial"/>
            <w:b/>
            <w:bCs/>
          </w:rPr>
          <w:t xml:space="preserve">  </w:t>
        </w:r>
        <w:r w:rsidR="00D34D5D">
          <w:rPr>
            <w:rStyle w:val="aff8"/>
            <w:rFonts w:ascii="Arial Unicode MS" w:hAnsi="Arial Unicode MS" w:cs="Arial" w:hint="eastAsia"/>
            <w:b/>
            <w:bCs/>
          </w:rPr>
          <w:t>备查文件</w:t>
        </w:r>
        <w:r w:rsidR="00D34D5D">
          <w:tab/>
        </w:r>
        <w:r w:rsidR="00D34D5D">
          <w:rPr>
            <w:rFonts w:hint="eastAsia"/>
          </w:rPr>
          <w:t>23-1</w:t>
        </w:r>
      </w:hyperlink>
    </w:p>
    <w:p w:rsidR="000E520F" w:rsidRDefault="00D34D5D">
      <w:pPr>
        <w:adjustRightInd w:val="0"/>
        <w:snapToGrid w:val="0"/>
        <w:spacing w:line="360" w:lineRule="auto"/>
        <w:rPr>
          <w:rFonts w:ascii="Arial Unicode MS" w:hAnsi="Arial Unicode MS" w:cs="Arial"/>
          <w:bCs/>
          <w:spacing w:val="120"/>
          <w:szCs w:val="21"/>
        </w:rPr>
        <w:sectPr w:rsidR="000E520F">
          <w:footerReference w:type="default" r:id="rId12"/>
          <w:headerReference w:type="first" r:id="rId13"/>
          <w:footerReference w:type="first" r:id="rId14"/>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rsidR="000E520F" w:rsidRDefault="000E520F">
      <w:pPr>
        <w:spacing w:line="360" w:lineRule="auto"/>
        <w:ind w:firstLine="105"/>
        <w:rPr>
          <w:rFonts w:ascii="Arial Unicode MS" w:hAnsi="Arial Unicode MS"/>
        </w:rPr>
        <w:sectPr w:rsidR="000E520F">
          <w:footerReference w:type="default" r:id="rId15"/>
          <w:footerReference w:type="first" r:id="rId16"/>
          <w:type w:val="continuous"/>
          <w:pgSz w:w="11906" w:h="16838"/>
          <w:pgMar w:top="1440" w:right="1800" w:bottom="1440" w:left="1800" w:header="851" w:footer="992" w:gutter="0"/>
          <w:cols w:space="720"/>
          <w:titlePg/>
          <w:docGrid w:linePitch="312"/>
        </w:sectPr>
      </w:pPr>
    </w:p>
    <w:p w:rsidR="000E520F" w:rsidRDefault="00D34D5D">
      <w:pPr>
        <w:pStyle w:val="11"/>
        <w:snapToGrid w:val="0"/>
        <w:spacing w:before="0" w:after="0" w:line="360" w:lineRule="auto"/>
        <w:ind w:firstLineChars="50" w:firstLine="141"/>
        <w:rPr>
          <w:rFonts w:ascii="Arial Unicode MS" w:eastAsia="宋体" w:hAnsi="Arial Unicode MS" w:cs="Arial"/>
          <w:b/>
          <w:bCs/>
          <w:sz w:val="28"/>
          <w:szCs w:val="28"/>
        </w:rPr>
      </w:pPr>
      <w:bookmarkStart w:id="3" w:name="_Toc429490278"/>
      <w:bookmarkStart w:id="4" w:name="_Toc47622413"/>
      <w:bookmarkStart w:id="5" w:name="_Toc47604305"/>
      <w:bookmarkStart w:id="6" w:name="_Toc335232691"/>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3"/>
      <w:bookmarkEnd w:id="4"/>
      <w:bookmarkEnd w:id="5"/>
      <w:bookmarkEnd w:id="6"/>
    </w:p>
    <w:p w:rsidR="000E520F" w:rsidRDefault="000E520F">
      <w:pPr>
        <w:autoSpaceDE w:val="0"/>
        <w:autoSpaceDN w:val="0"/>
        <w:adjustRightInd w:val="0"/>
        <w:snapToGrid w:val="0"/>
        <w:spacing w:line="360" w:lineRule="auto"/>
        <w:ind w:firstLineChars="200" w:firstLine="420"/>
        <w:rPr>
          <w:rFonts w:ascii="Arial Unicode MS" w:hAnsi="Arial Unicode MS" w:cs="Arial"/>
          <w:szCs w:val="21"/>
        </w:rPr>
      </w:pPr>
    </w:p>
    <w:p w:rsidR="000E520F" w:rsidRDefault="00D34D5D">
      <w:pPr>
        <w:adjustRightInd w:val="0"/>
        <w:snapToGrid w:val="0"/>
        <w:spacing w:line="360" w:lineRule="auto"/>
        <w:ind w:firstLineChars="200" w:firstLine="420"/>
        <w:rPr>
          <w:rFonts w:ascii="宋体" w:hAnsi="宋体" w:cs="Arial"/>
        </w:rPr>
      </w:pPr>
      <w:r>
        <w:rPr>
          <w:rFonts w:ascii="宋体" w:hAnsi="宋体" w:cs="Arial"/>
        </w:rPr>
        <w:t>《博时港股通领先趋势混合型证券投资基金招募说明书》（以下简称“招募说明书”或“本招募说明书”）依照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证券投资基金运作管理办法》（以下简称“《运作办法》”）、《证券投资基金销售管理办法》（以下简称“《销售办法》”）、《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以及《博时港股通领先趋势混合型证券投资基金基金合同》（以下简称“基金合同”）编写。</w:t>
      </w:r>
    </w:p>
    <w:p w:rsidR="000E520F" w:rsidRDefault="00D34D5D">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Pr>
          <w:rFonts w:ascii="宋体" w:hAnsi="宋体" w:cs="Arial"/>
        </w:rPr>
        <w:t>博时港股通领先趋势混合型证券投资基金</w:t>
      </w:r>
      <w:r>
        <w:rPr>
          <w:rFonts w:ascii="宋体" w:hAnsi="宋体" w:cs="Arial" w:hint="eastAsia"/>
        </w:rPr>
        <w:t>的投资目标、策略、风险、费率等与投资人投资决策有关的必要事项，投资人在作出投资决策前应仔细阅读本招募说明书。</w:t>
      </w:r>
    </w:p>
    <w:p w:rsidR="000E520F" w:rsidRDefault="00D34D5D">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rsidR="000E520F" w:rsidRDefault="00D34D5D">
      <w:pPr>
        <w:adjustRightInd w:val="0"/>
        <w:snapToGrid w:val="0"/>
        <w:spacing w:line="360" w:lineRule="auto"/>
        <w:ind w:firstLineChars="200" w:firstLine="420"/>
        <w:rPr>
          <w:rFonts w:ascii="宋体" w:hAnsi="宋体" w:cs="Arial"/>
        </w:rPr>
      </w:pPr>
      <w:r>
        <w:rPr>
          <w:rFonts w:ascii="宋体" w:hAnsi="宋体" w:cs="Arial"/>
        </w:rPr>
        <w:t>博时港股通领先趋势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rsidR="000E520F" w:rsidRDefault="00D34D5D">
      <w:pPr>
        <w:adjustRightInd w:val="0"/>
        <w:snapToGrid w:val="0"/>
        <w:spacing w:line="360" w:lineRule="auto"/>
        <w:ind w:firstLineChars="200" w:firstLine="420"/>
        <w:rPr>
          <w:rFonts w:ascii="宋体" w:hAnsi="宋体" w:cs="Arial"/>
        </w:rPr>
        <w:sectPr w:rsidR="000E520F">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0E520F" w:rsidRDefault="00D34D5D">
      <w:pPr>
        <w:pStyle w:val="11"/>
        <w:snapToGrid w:val="0"/>
        <w:spacing w:before="0" w:after="0" w:line="360" w:lineRule="auto"/>
        <w:ind w:firstLineChars="50" w:firstLine="141"/>
        <w:rPr>
          <w:rFonts w:ascii="Arial Unicode MS" w:eastAsia="宋体" w:hAnsi="Arial Unicode MS" w:cs="Arial"/>
          <w:b/>
          <w:bCs/>
          <w:sz w:val="28"/>
          <w:szCs w:val="28"/>
        </w:rPr>
      </w:pPr>
      <w:bookmarkStart w:id="7" w:name="_Toc47604306"/>
      <w:bookmarkStart w:id="8" w:name="_Toc214873591"/>
      <w:bookmarkStart w:id="9" w:name="_Toc335232692"/>
      <w:bookmarkStart w:id="10" w:name="_Toc429490279"/>
      <w:bookmarkStart w:id="11" w:name="_Toc47622414"/>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7"/>
      <w:bookmarkEnd w:id="8"/>
      <w:bookmarkEnd w:id="9"/>
      <w:bookmarkEnd w:id="10"/>
      <w:bookmarkEnd w:id="11"/>
    </w:p>
    <w:p w:rsidR="000E520F" w:rsidRDefault="000E520F">
      <w:pPr>
        <w:spacing w:line="360" w:lineRule="auto"/>
        <w:rPr>
          <w:rFonts w:ascii="Arial Unicode MS" w:hAnsi="Arial Unicode MS"/>
        </w:rPr>
      </w:pPr>
    </w:p>
    <w:p w:rsidR="000E520F" w:rsidRDefault="00D34D5D">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rsidR="000E520F" w:rsidRDefault="00D34D5D">
      <w:pPr>
        <w:spacing w:line="360" w:lineRule="auto"/>
        <w:ind w:firstLineChars="200" w:firstLine="420"/>
        <w:rPr>
          <w:bCs/>
          <w:szCs w:val="21"/>
        </w:rPr>
      </w:pPr>
      <w:bookmarkStart w:id="12" w:name="_Toc21073393"/>
      <w:bookmarkStart w:id="13" w:name="_Toc429490280"/>
      <w:bookmarkStart w:id="14" w:name="_Toc12357173"/>
      <w:bookmarkStart w:id="15" w:name="_Toc147463120"/>
      <w:bookmarkStart w:id="16" w:name="_Toc214873592"/>
      <w:r>
        <w:rPr>
          <w:bCs/>
          <w:szCs w:val="21"/>
        </w:rPr>
        <w:t>1</w:t>
      </w:r>
      <w:r>
        <w:rPr>
          <w:rFonts w:hint="eastAsia"/>
          <w:bCs/>
          <w:szCs w:val="21"/>
        </w:rPr>
        <w:t>、</w:t>
      </w:r>
      <w:r>
        <w:rPr>
          <w:bCs/>
          <w:szCs w:val="21"/>
        </w:rPr>
        <w:t>基金或本基金：指</w:t>
      </w:r>
      <w:r>
        <w:rPr>
          <w:rFonts w:hint="eastAsia"/>
          <w:bCs/>
          <w:szCs w:val="21"/>
        </w:rPr>
        <w:t>博时港股通领先趋势混合型证券投资基金</w:t>
      </w:r>
    </w:p>
    <w:p w:rsidR="000E520F" w:rsidRDefault="00D34D5D">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rsidR="000E520F" w:rsidRDefault="00D34D5D">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中国民生银行股份有限公司</w:t>
      </w:r>
      <w:r>
        <w:rPr>
          <w:bCs/>
          <w:szCs w:val="21"/>
        </w:rPr>
        <w:t xml:space="preserve"> </w:t>
      </w:r>
    </w:p>
    <w:p w:rsidR="000E520F" w:rsidRDefault="00D34D5D">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Pr>
          <w:rFonts w:hint="eastAsia"/>
          <w:bCs/>
          <w:szCs w:val="21"/>
        </w:rPr>
        <w:t>博时港股通领先趋势混合型证券投资基金</w:t>
      </w:r>
      <w:r>
        <w:rPr>
          <w:bCs/>
          <w:szCs w:val="21"/>
        </w:rPr>
        <w:t>基金合同》及对基金合同的任何有效修订和补充</w:t>
      </w:r>
    </w:p>
    <w:p w:rsidR="000E520F" w:rsidRDefault="00D34D5D">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Pr>
          <w:rFonts w:hint="eastAsia"/>
          <w:bCs/>
          <w:szCs w:val="21"/>
        </w:rPr>
        <w:t>博时港股通领先趋势混合型证券投资基金</w:t>
      </w:r>
      <w:r>
        <w:rPr>
          <w:bCs/>
          <w:szCs w:val="21"/>
        </w:rPr>
        <w:t>托管协议》及对该托管协议的任何有效修订和补充</w:t>
      </w:r>
    </w:p>
    <w:p w:rsidR="000E520F" w:rsidRDefault="00D34D5D">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Pr>
          <w:rFonts w:hint="eastAsia"/>
          <w:bCs/>
          <w:szCs w:val="21"/>
        </w:rPr>
        <w:t>博时港股通领先趋势混合型证券投资基金</w:t>
      </w:r>
      <w:r>
        <w:rPr>
          <w:bCs/>
          <w:szCs w:val="21"/>
        </w:rPr>
        <w:t>招募说明书》及其更新</w:t>
      </w:r>
    </w:p>
    <w:p w:rsidR="000E520F" w:rsidRDefault="00D34D5D">
      <w:pPr>
        <w:spacing w:line="360" w:lineRule="auto"/>
        <w:ind w:firstLineChars="200" w:firstLine="420"/>
        <w:rPr>
          <w:bCs/>
          <w:szCs w:val="21"/>
        </w:rPr>
      </w:pPr>
      <w:r>
        <w:rPr>
          <w:rFonts w:hint="eastAsia"/>
          <w:bCs/>
          <w:szCs w:val="21"/>
        </w:rPr>
        <w:t>7</w:t>
      </w:r>
      <w:r>
        <w:rPr>
          <w:rFonts w:hint="eastAsia"/>
          <w:bCs/>
          <w:szCs w:val="21"/>
        </w:rPr>
        <w:t>、基金产品资料概要：指《博时港股通领先趋势混合型证券投资基金基金产品资料概要》及其更新</w:t>
      </w:r>
    </w:p>
    <w:p w:rsidR="000E520F" w:rsidRDefault="00D34D5D">
      <w:pPr>
        <w:spacing w:line="360" w:lineRule="auto"/>
        <w:ind w:firstLineChars="200" w:firstLine="420"/>
        <w:rPr>
          <w:bCs/>
          <w:szCs w:val="21"/>
        </w:rPr>
      </w:pPr>
      <w:r>
        <w:rPr>
          <w:rFonts w:hint="eastAsia"/>
          <w:bCs/>
          <w:szCs w:val="21"/>
        </w:rPr>
        <w:t>8</w:t>
      </w:r>
      <w:r>
        <w:rPr>
          <w:rFonts w:hint="eastAsia"/>
          <w:bCs/>
          <w:szCs w:val="21"/>
        </w:rPr>
        <w:t>、基金份额发售公告：指《博时港股通领先趋势混合型证券投资基金基金份额发售公告》</w:t>
      </w:r>
    </w:p>
    <w:p w:rsidR="000E520F" w:rsidRDefault="00D34D5D">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rsidR="000E520F" w:rsidRDefault="00D34D5D">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rsidR="000E520F" w:rsidRDefault="00D34D5D">
      <w:pPr>
        <w:spacing w:line="360" w:lineRule="auto"/>
        <w:ind w:firstLineChars="200" w:firstLine="420"/>
        <w:rPr>
          <w:bCs/>
          <w:szCs w:val="21"/>
        </w:rPr>
      </w:pPr>
      <w:r>
        <w:rPr>
          <w:rFonts w:hint="eastAsia"/>
          <w:bCs/>
          <w:szCs w:val="21"/>
        </w:rPr>
        <w:t>11</w:t>
      </w:r>
      <w:r>
        <w:rPr>
          <w:rFonts w:hint="eastAsia"/>
          <w:bCs/>
          <w:szCs w:val="21"/>
        </w:rPr>
        <w:t>、《销售办法》：指中国证监会</w:t>
      </w:r>
      <w:r>
        <w:rPr>
          <w:rFonts w:hint="eastAsia"/>
          <w:bCs/>
          <w:szCs w:val="21"/>
        </w:rPr>
        <w:t>2013</w:t>
      </w:r>
      <w:r>
        <w:rPr>
          <w:rFonts w:hint="eastAsia"/>
          <w:bCs/>
          <w:szCs w:val="21"/>
        </w:rPr>
        <w:t>年</w:t>
      </w:r>
      <w:r>
        <w:rPr>
          <w:rFonts w:hint="eastAsia"/>
          <w:bCs/>
          <w:szCs w:val="21"/>
        </w:rPr>
        <w:t>3</w:t>
      </w:r>
      <w:r>
        <w:rPr>
          <w:rFonts w:hint="eastAsia"/>
          <w:bCs/>
          <w:szCs w:val="21"/>
        </w:rPr>
        <w:t>月</w:t>
      </w:r>
      <w:r>
        <w:rPr>
          <w:rFonts w:hint="eastAsia"/>
          <w:bCs/>
          <w:szCs w:val="21"/>
        </w:rPr>
        <w:t>15</w:t>
      </w:r>
      <w:r>
        <w:rPr>
          <w:rFonts w:hint="eastAsia"/>
          <w:bCs/>
          <w:szCs w:val="21"/>
        </w:rPr>
        <w:t>日颁布、同年</w:t>
      </w:r>
      <w:r>
        <w:rPr>
          <w:rFonts w:hint="eastAsia"/>
          <w:bCs/>
          <w:szCs w:val="21"/>
        </w:rPr>
        <w:t>6</w:t>
      </w:r>
      <w:r>
        <w:rPr>
          <w:rFonts w:hint="eastAsia"/>
          <w:bCs/>
          <w:szCs w:val="21"/>
        </w:rPr>
        <w:t>月</w:t>
      </w:r>
      <w:r>
        <w:rPr>
          <w:rFonts w:hint="eastAsia"/>
          <w:bCs/>
          <w:szCs w:val="21"/>
        </w:rPr>
        <w:t>1</w:t>
      </w:r>
      <w:r>
        <w:rPr>
          <w:rFonts w:hint="eastAsia"/>
          <w:bCs/>
          <w:szCs w:val="21"/>
        </w:rPr>
        <w:t>日实施的《证券投资基金销售管理办法》及颁布机关对其不时做出的修订</w:t>
      </w:r>
    </w:p>
    <w:p w:rsidR="000E520F" w:rsidRDefault="00D34D5D">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3</w:t>
      </w:r>
      <w:r>
        <w:rPr>
          <w:rFonts w:hint="eastAsia"/>
          <w:bCs/>
          <w:szCs w:val="21"/>
        </w:rPr>
        <w:t>月</w:t>
      </w:r>
      <w:r>
        <w:rPr>
          <w:rFonts w:hint="eastAsia"/>
          <w:bCs/>
          <w:szCs w:val="21"/>
        </w:rPr>
        <w:t>20</w:t>
      </w:r>
      <w:r>
        <w:rPr>
          <w:rFonts w:hint="eastAsia"/>
          <w:bCs/>
          <w:szCs w:val="21"/>
        </w:rPr>
        <w:t>日中国证监会《关于修改部分证券期货规章的决定》修改的《公开募集证券投资基金信息披露管理办法》及颁布机关对其不时做出的修订</w:t>
      </w:r>
    </w:p>
    <w:p w:rsidR="000E520F" w:rsidRDefault="00D34D5D">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rsidR="000E520F" w:rsidRDefault="00D34D5D">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rsidR="000E520F" w:rsidRDefault="00D34D5D">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rsidR="000E520F" w:rsidRDefault="00D34D5D">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rsidR="000E520F" w:rsidRDefault="00D34D5D">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rsidR="000E520F" w:rsidRDefault="00D34D5D">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rsidR="000E520F" w:rsidRDefault="00D34D5D">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0E520F" w:rsidRDefault="00D34D5D">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0E520F" w:rsidRDefault="00D34D5D">
      <w:pPr>
        <w:spacing w:line="360" w:lineRule="auto"/>
        <w:ind w:firstLineChars="200" w:firstLine="420"/>
        <w:rPr>
          <w:bCs/>
          <w:szCs w:val="21"/>
        </w:rPr>
      </w:pPr>
      <w:r>
        <w:rPr>
          <w:rFonts w:hint="eastAsia"/>
          <w:bCs/>
          <w:szCs w:val="21"/>
        </w:rPr>
        <w:t>21</w:t>
      </w:r>
      <w:r>
        <w:rPr>
          <w:rFonts w:hint="eastAsia"/>
          <w:bCs/>
          <w:szCs w:val="21"/>
        </w:rPr>
        <w:t>、人民币合格境外机构投资者：指按照《人民币合格境外机构投资者境内证券投资试点办法》及相关法律法规规定，运用来自境外的人民币资金进行境内证券投资的境外法人</w:t>
      </w:r>
    </w:p>
    <w:p w:rsidR="000E520F" w:rsidRDefault="00D34D5D">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0E520F" w:rsidRDefault="00D34D5D">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rsidR="000E520F" w:rsidRDefault="00D34D5D">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rsidR="000E520F" w:rsidRDefault="00D34D5D">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rsidR="000E520F" w:rsidRDefault="00D34D5D">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rsidR="000E520F" w:rsidRDefault="00D34D5D">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rsidR="000E520F" w:rsidRDefault="00D34D5D">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E520F" w:rsidRDefault="00D34D5D">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rsidR="000E520F" w:rsidRDefault="00D34D5D">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rsidR="000E520F" w:rsidRDefault="00D34D5D">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0E520F" w:rsidRDefault="00D34D5D">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、基金合同生效日：指基金募集达到法律法规规定及基金合同规定的条件，基金管理人向中国证监会办理基金备案手续完毕，并获得中国证监会书面确认的日期</w:t>
      </w:r>
    </w:p>
    <w:p w:rsidR="000E520F" w:rsidRDefault="00D34D5D">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w:t>
      </w:r>
      <w:r>
        <w:rPr>
          <w:rFonts w:hint="eastAsia"/>
          <w:bCs/>
          <w:szCs w:val="21"/>
        </w:rPr>
        <w:lastRenderedPageBreak/>
        <w:t>清算结果报中国证监会备案并予以公告的日期</w:t>
      </w:r>
    </w:p>
    <w:p w:rsidR="000E520F" w:rsidRDefault="00D34D5D">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rsidR="000E520F" w:rsidRDefault="00D34D5D">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rsidR="000E520F" w:rsidRDefault="00D34D5D">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rsidR="000E520F" w:rsidRDefault="00D34D5D">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rsidR="000E520F" w:rsidRDefault="00D34D5D">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rsidR="000E520F" w:rsidRDefault="00D34D5D">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该工作日为非港股通交易日时，则基金管理人可根据实际情况决定本基金是否开放申购、赎回及转换业务，具体以届时提前发布的公告为准）</w:t>
      </w:r>
    </w:p>
    <w:p w:rsidR="000E520F" w:rsidRDefault="00D34D5D">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rsidR="000E520F" w:rsidRDefault="00D34D5D">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rsidR="000E520F" w:rsidRDefault="00D34D5D">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rsidR="000E520F" w:rsidRDefault="00D34D5D">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rsidR="000E520F" w:rsidRDefault="00D34D5D">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rsidR="000E520F" w:rsidRDefault="00D34D5D">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0E520F" w:rsidRDefault="00D34D5D">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rsidR="000E520F" w:rsidRDefault="00D34D5D">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0E520F" w:rsidRDefault="00D34D5D">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rsidR="000E520F" w:rsidRDefault="00D34D5D">
      <w:pPr>
        <w:spacing w:line="360" w:lineRule="auto"/>
        <w:ind w:firstLineChars="200" w:firstLine="420"/>
        <w:rPr>
          <w:bCs/>
          <w:szCs w:val="21"/>
        </w:rPr>
      </w:pPr>
      <w:r>
        <w:rPr>
          <w:rFonts w:hint="eastAsia"/>
          <w:bCs/>
          <w:szCs w:val="21"/>
        </w:rPr>
        <w:t>49</w:t>
      </w:r>
      <w:r>
        <w:rPr>
          <w:rFonts w:hint="eastAsia"/>
          <w:bCs/>
          <w:szCs w:val="21"/>
        </w:rPr>
        <w:t>、元：指人民币元</w:t>
      </w:r>
    </w:p>
    <w:p w:rsidR="000E520F" w:rsidRDefault="00D34D5D">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w:t>
      </w:r>
      <w:r>
        <w:rPr>
          <w:rFonts w:hint="eastAsia"/>
          <w:bCs/>
          <w:szCs w:val="21"/>
        </w:rPr>
        <w:lastRenderedPageBreak/>
        <w:t>已实现的其他合法收入及因运用基金财产带来的成本和费用的节约</w:t>
      </w:r>
    </w:p>
    <w:p w:rsidR="000E520F" w:rsidRDefault="00D34D5D">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rsidR="000E520F" w:rsidRDefault="00D34D5D">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rsidR="000E520F" w:rsidRDefault="00D34D5D">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rsidR="000E520F" w:rsidRDefault="00D34D5D">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rsidR="000E520F" w:rsidRDefault="00D34D5D">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rsidR="000E520F" w:rsidRDefault="00D34D5D">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rsidR="000E520F" w:rsidRDefault="00D34D5D">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rsidR="000E520F" w:rsidRDefault="00D34D5D">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0E520F" w:rsidRDefault="00D34D5D">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rsidR="000E520F" w:rsidRDefault="00D34D5D">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0E520F" w:rsidRDefault="00D34D5D">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E520F" w:rsidRDefault="00D34D5D">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rsidR="000E520F" w:rsidRDefault="00D34D5D">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、信用衍生品：指符合证券交易所或银行间市场相关业务规则，专门用于管理信用风险的信用衍生工具</w:t>
      </w:r>
    </w:p>
    <w:p w:rsidR="000E520F" w:rsidRDefault="00D34D5D">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rsidR="000E520F" w:rsidRDefault="00D34D5D">
      <w:pPr>
        <w:spacing w:line="360" w:lineRule="auto"/>
        <w:ind w:firstLineChars="200" w:firstLine="420"/>
        <w:rPr>
          <w:bCs/>
          <w:szCs w:val="21"/>
        </w:rPr>
      </w:pPr>
      <w:r>
        <w:rPr>
          <w:rFonts w:hint="eastAsia"/>
          <w:bCs/>
          <w:szCs w:val="21"/>
        </w:rPr>
        <w:lastRenderedPageBreak/>
        <w:t>65</w:t>
      </w:r>
      <w:r>
        <w:rPr>
          <w:rFonts w:hint="eastAsia"/>
          <w:bCs/>
          <w:szCs w:val="21"/>
        </w:rPr>
        <w:t>、信用保护卖方：亦称信用保护提供方，指提供信用风险保护的一方</w:t>
      </w:r>
    </w:p>
    <w:p w:rsidR="000E520F" w:rsidRDefault="00D34D5D">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rsidR="000E520F" w:rsidRDefault="00D34D5D">
      <w:pPr>
        <w:spacing w:line="360" w:lineRule="auto"/>
        <w:ind w:firstLineChars="200" w:firstLine="420"/>
        <w:rPr>
          <w:bCs/>
          <w:szCs w:val="21"/>
        </w:rPr>
      </w:pPr>
      <w:r>
        <w:rPr>
          <w:rFonts w:hint="eastAsia"/>
          <w:bCs/>
          <w:szCs w:val="21"/>
        </w:rPr>
        <w:t>67</w:t>
      </w:r>
      <w:r>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E520F" w:rsidRDefault="00D34D5D">
      <w:pPr>
        <w:spacing w:line="360" w:lineRule="auto"/>
        <w:ind w:firstLineChars="200" w:firstLine="420"/>
        <w:rPr>
          <w:bCs/>
          <w:szCs w:val="21"/>
        </w:rPr>
      </w:pPr>
      <w:r>
        <w:rPr>
          <w:rFonts w:hint="eastAsia"/>
          <w:bCs/>
          <w:szCs w:val="21"/>
        </w:rPr>
        <w:t>68</w:t>
      </w:r>
      <w:r>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0E520F" w:rsidRDefault="00D34D5D">
      <w:pPr>
        <w:spacing w:line="360" w:lineRule="auto"/>
        <w:ind w:firstLineChars="200" w:firstLine="420"/>
        <w:rPr>
          <w:bCs/>
          <w:szCs w:val="21"/>
        </w:rPr>
      </w:pPr>
      <w:r>
        <w:rPr>
          <w:rFonts w:hint="eastAsia"/>
          <w:bCs/>
          <w:szCs w:val="21"/>
        </w:rPr>
        <w:t>69</w:t>
      </w:r>
      <w:r>
        <w:rPr>
          <w:rFonts w:hint="eastAsia"/>
          <w:bCs/>
          <w:szCs w:val="21"/>
        </w:rPr>
        <w:t>、不可抗力：指基金合同当事人不能预见、不能避免且不能克服的客观事件</w:t>
      </w:r>
    </w:p>
    <w:p w:rsidR="000E520F" w:rsidRDefault="000E520F">
      <w:pPr>
        <w:spacing w:line="360" w:lineRule="auto"/>
        <w:ind w:firstLineChars="200" w:firstLine="480"/>
        <w:rPr>
          <w:bCs/>
          <w:sz w:val="24"/>
          <w:szCs w:val="20"/>
        </w:rPr>
      </w:pPr>
    </w:p>
    <w:p w:rsidR="000E520F" w:rsidRDefault="000E520F">
      <w:pPr>
        <w:spacing w:line="360" w:lineRule="auto"/>
        <w:ind w:firstLineChars="200" w:firstLine="480"/>
        <w:rPr>
          <w:bCs/>
          <w:sz w:val="24"/>
          <w:szCs w:val="20"/>
        </w:rPr>
        <w:sectPr w:rsidR="000E520F">
          <w:footerReference w:type="default" r:id="rId19"/>
          <w:pgSz w:w="12240" w:h="15840"/>
          <w:pgMar w:top="1440" w:right="1800" w:bottom="1440" w:left="1800" w:header="720" w:footer="720" w:gutter="0"/>
          <w:pgNumType w:start="1"/>
          <w:cols w:space="720"/>
        </w:sectPr>
      </w:pPr>
    </w:p>
    <w:p w:rsidR="000E520F" w:rsidRDefault="00D34D5D">
      <w:pPr>
        <w:pStyle w:val="11"/>
        <w:snapToGrid w:val="0"/>
        <w:spacing w:before="0" w:after="0" w:line="360" w:lineRule="auto"/>
        <w:ind w:firstLineChars="50" w:firstLine="141"/>
        <w:rPr>
          <w:rFonts w:ascii="Arial Unicode MS" w:eastAsia="宋体" w:hAnsi="Arial Unicode MS" w:cs="Arial"/>
          <w:b/>
          <w:bCs/>
          <w:sz w:val="28"/>
          <w:szCs w:val="28"/>
        </w:rPr>
      </w:pPr>
      <w:bookmarkStart w:id="17" w:name="_Toc47622415"/>
      <w:bookmarkStart w:id="18" w:name="_Toc47604307"/>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2"/>
      <w:bookmarkEnd w:id="13"/>
      <w:bookmarkEnd w:id="14"/>
      <w:bookmarkEnd w:id="15"/>
      <w:bookmarkEnd w:id="16"/>
      <w:bookmarkEnd w:id="17"/>
      <w:bookmarkEnd w:id="18"/>
    </w:p>
    <w:p w:rsidR="000E520F" w:rsidRDefault="00D34D5D">
      <w:pPr>
        <w:spacing w:line="360" w:lineRule="auto"/>
        <w:ind w:firstLineChars="200" w:firstLine="422"/>
        <w:rPr>
          <w:rFonts w:ascii="宋体" w:hAnsi="宋体"/>
          <w:b/>
          <w:kern w:val="0"/>
          <w:szCs w:val="21"/>
        </w:rPr>
      </w:pPr>
      <w:bookmarkStart w:id="19" w:name="_Toc214873593"/>
      <w:bookmarkStart w:id="20" w:name="_Toc524923215"/>
      <w:r>
        <w:rPr>
          <w:rFonts w:ascii="宋体" w:hAnsi="宋体" w:hint="eastAsia"/>
          <w:b/>
          <w:kern w:val="0"/>
          <w:szCs w:val="21"/>
        </w:rPr>
        <w:t>一、基金管理人概况</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名称：</w:t>
      </w:r>
      <w:r>
        <w:rPr>
          <w:rFonts w:ascii="宋体" w:hAnsi="宋体" w:hint="eastAsia"/>
          <w:kern w:val="0"/>
          <w:szCs w:val="21"/>
        </w:rPr>
        <w:tab/>
        <w:t>博时基金管理有限公司</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住所：</w:t>
      </w:r>
      <w:r>
        <w:rPr>
          <w:rFonts w:ascii="宋体" w:hAnsi="宋体" w:hint="eastAsia"/>
          <w:kern w:val="0"/>
          <w:szCs w:val="21"/>
        </w:rPr>
        <w:tab/>
        <w:t>深圳市福田区莲花街道福新社区益田路5999号基金大厦21层</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办公地址：</w:t>
      </w:r>
      <w:r>
        <w:rPr>
          <w:rFonts w:ascii="宋体" w:hAnsi="宋体" w:hint="eastAsia"/>
          <w:kern w:val="0"/>
          <w:szCs w:val="21"/>
        </w:rPr>
        <w:tab/>
        <w:t>广东省深圳市福田区益田路5999号基金大厦21层</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法定代表人：江向阳</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成立时间：</w:t>
      </w:r>
      <w:r>
        <w:rPr>
          <w:rFonts w:ascii="宋体" w:hAnsi="宋体" w:hint="eastAsia"/>
          <w:kern w:val="0"/>
          <w:szCs w:val="21"/>
        </w:rPr>
        <w:tab/>
        <w:t>1998年7月13日</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注册资本：</w:t>
      </w:r>
      <w:r>
        <w:rPr>
          <w:rFonts w:ascii="宋体" w:hAnsi="宋体" w:hint="eastAsia"/>
          <w:kern w:val="0"/>
          <w:szCs w:val="21"/>
        </w:rPr>
        <w:tab/>
        <w:t>2.5亿元人民币</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存续期间：</w:t>
      </w:r>
      <w:r>
        <w:rPr>
          <w:rFonts w:ascii="宋体" w:hAnsi="宋体" w:hint="eastAsia"/>
          <w:kern w:val="0"/>
          <w:szCs w:val="21"/>
        </w:rPr>
        <w:tab/>
        <w:t>持续经营</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联系人：    韩强</w:t>
      </w:r>
    </w:p>
    <w:p w:rsidR="000E520F" w:rsidRDefault="00D34D5D">
      <w:pPr>
        <w:spacing w:line="360" w:lineRule="auto"/>
        <w:ind w:firstLineChars="200" w:firstLine="420"/>
        <w:rPr>
          <w:rFonts w:ascii="宋体" w:hAnsi="宋体"/>
          <w:kern w:val="0"/>
          <w:szCs w:val="21"/>
        </w:rPr>
      </w:pPr>
      <w:r>
        <w:rPr>
          <w:rFonts w:ascii="宋体" w:hAnsi="宋体" w:hint="eastAsia"/>
          <w:kern w:val="0"/>
          <w:szCs w:val="21"/>
        </w:rPr>
        <w:t>联系电话：  （0755）8316 9999</w:t>
      </w:r>
    </w:p>
    <w:p w:rsidR="00095DE4" w:rsidRPr="00542E19"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博时基金管理有限公司（以下简称“公司”）经中国证监会证监基字[1998]26号文批准设立。目前公司股东为招商证券股份有限公司，持有股份49%</w:t>
      </w:r>
      <w:r w:rsidRPr="00B859B2">
        <w:rPr>
          <w:rFonts w:ascii="宋体" w:hAnsi="宋体" w:hint="eastAsia"/>
          <w:kern w:val="0"/>
          <w:szCs w:val="21"/>
        </w:rPr>
        <w:t>；中国长城资产管理公司，持有股份</w:t>
      </w:r>
      <w:r w:rsidRPr="00B859B2">
        <w:rPr>
          <w:rFonts w:ascii="宋体" w:hAnsi="宋体"/>
          <w:kern w:val="0"/>
          <w:szCs w:val="21"/>
        </w:rPr>
        <w:t>25%；天津港（集团）有限公司，持有股份</w:t>
      </w:r>
      <w:r w:rsidRPr="00542E19">
        <w:rPr>
          <w:rFonts w:ascii="宋体" w:hAnsi="宋体"/>
          <w:kern w:val="0"/>
          <w:szCs w:val="21"/>
        </w:rPr>
        <w:t>6％；上海汇华实业有限公司，持有股份12％；上海盛业股权投资基金有限公司，持有股份6％；广厦建设集团有限责任公司，持有股份2%。注册资本为2.5亿元人民币。</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公司设立了投资决策委员会。投资决策委员会负责指导基金资产的运作、确定基本的投资策略和投资组合的原则。</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公司下设两大总部和三十四</w:t>
      </w:r>
      <w:r w:rsidRPr="004A3137">
        <w:rPr>
          <w:rFonts w:ascii="宋体" w:hAnsi="宋体" w:hint="eastAsia"/>
          <w:kern w:val="0"/>
          <w:szCs w:val="21"/>
        </w:rPr>
        <w:t>个直属部门，分别是：权益投资总部、固定收益总部以及宏观策略部、交易部、指数与量化投资部、多元资产管理部、年金投资部、绝对收益投资部、基础设施投资管理部、</w:t>
      </w:r>
      <w:r w:rsidRPr="00542E19">
        <w:rPr>
          <w:rFonts w:ascii="宋体" w:hAnsi="宋体" w:hint="eastAsia"/>
          <w:kern w:val="0"/>
          <w:szCs w:val="21"/>
        </w:rPr>
        <w:t>综合解决方案业务部、</w:t>
      </w:r>
      <w:r w:rsidRPr="004A3137">
        <w:rPr>
          <w:rFonts w:ascii="宋体" w:hAnsi="宋体" w:hint="eastAsia"/>
          <w:kern w:val="0"/>
          <w:szCs w:val="21"/>
        </w:rPr>
        <w:t>产品规划部、销售管理部、客户服务中心、市场部、养老金业务中心</w:t>
      </w:r>
      <w:r w:rsidRPr="00B859B2">
        <w:rPr>
          <w:rFonts w:ascii="宋体" w:hAnsi="宋体" w:hint="eastAsia"/>
          <w:kern w:val="0"/>
          <w:szCs w:val="21"/>
        </w:rPr>
        <w:t>、战略客户部、机构</w:t>
      </w:r>
      <w:r w:rsidRPr="00B859B2">
        <w:rPr>
          <w:rFonts w:ascii="宋体" w:hAnsi="宋体"/>
          <w:kern w:val="0"/>
          <w:szCs w:val="21"/>
        </w:rPr>
        <w:t>-北京、机构</w:t>
      </w:r>
      <w:r w:rsidRPr="00542E19">
        <w:rPr>
          <w:rFonts w:ascii="宋体" w:hAnsi="宋体"/>
          <w:kern w:val="0"/>
          <w:szCs w:val="21"/>
        </w:rPr>
        <w:t>-上海、机构-南方、券商业务部、零售-北京、零售-上海、零售-南方、零售-西部、零售-中部、央企业务部、互联网金融部、财富管理部、董事会办公室、办公室、人力资源部、财务部、信息技术部、基金运作部、风险管理部和监察法律部。</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542E19">
        <w:rPr>
          <w:rFonts w:ascii="宋体" w:hAnsi="宋体"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w:t>
      </w:r>
      <w:r w:rsidRPr="00542E19">
        <w:rPr>
          <w:rFonts w:ascii="宋体" w:hAnsi="宋体"/>
          <w:kern w:val="0"/>
          <w:szCs w:val="21"/>
        </w:rPr>
        <w:t>-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542E19">
        <w:rPr>
          <w:rFonts w:ascii="宋体" w:hAnsi="宋体" w:hint="eastAsia"/>
          <w:kern w:val="0"/>
          <w:szCs w:val="21"/>
        </w:rPr>
        <w:t>负责券商渠道的开拓和销售服务、大宗交易业务、融券业务、做市商业务、股指期货业务等工作。</w:t>
      </w:r>
      <w:r w:rsidRPr="004A3137">
        <w:rPr>
          <w:rFonts w:ascii="宋体" w:hAnsi="宋体" w:hint="eastAsia"/>
          <w:kern w:val="0"/>
          <w:szCs w:val="21"/>
        </w:rPr>
        <w:t>零售-北京、零售-上海、零售-南方、零售</w:t>
      </w:r>
      <w:r w:rsidRPr="00B859B2">
        <w:rPr>
          <w:rFonts w:ascii="宋体" w:hAnsi="宋体"/>
          <w:kern w:val="0"/>
          <w:szCs w:val="21"/>
        </w:rPr>
        <w:t>-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w:t>
      </w:r>
      <w:r w:rsidRPr="00542E19">
        <w:rPr>
          <w:rFonts w:ascii="宋体" w:hAnsi="宋体"/>
          <w:kern w:val="0"/>
          <w:szCs w:val="21"/>
        </w:rPr>
        <w:t>用管理等工作。</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w:t>
      </w:r>
      <w:r w:rsidRPr="00542E19">
        <w:rPr>
          <w:rFonts w:ascii="宋体" w:hAnsi="宋体"/>
          <w:kern w:val="0"/>
          <w:szCs w:val="21"/>
        </w:rPr>
        <w:t>FOF/MOM主动管理资产配置，为客户量身定制跨一二级市场解决方案，同时负责主动管理资产的投资管理、产品运营、内部控制、风险管理等工作。</w:t>
      </w:r>
      <w:r w:rsidRPr="004A3137">
        <w:rPr>
          <w:rFonts w:ascii="宋体" w:hAnsi="宋体" w:hint="eastAsia"/>
          <w:kern w:val="0"/>
          <w:szCs w:val="21"/>
        </w:rPr>
        <w:t>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w:t>
      </w:r>
      <w:r w:rsidRPr="00B859B2">
        <w:rPr>
          <w:rFonts w:ascii="宋体" w:hAnsi="宋体" w:hint="eastAsia"/>
          <w:kern w:val="0"/>
          <w:szCs w:val="21"/>
        </w:rPr>
        <w:t>运营，推动公司相关业务在互联网平台的整合与创新。财富管理部负责高端客户的理财服务与销售。客户服务中心负责负责电话咨询与服务；网络咨询与服务；电话呼出业务；营销数据分析统计、直销柜台业务等工作。</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542E19">
        <w:rPr>
          <w:rFonts w:ascii="宋体" w:hAnsi="宋体"/>
          <w:kern w:val="0"/>
          <w:szCs w:val="21"/>
        </w:rPr>
        <w:t>IT系统安全及数据备份等工作。基金运作部负责基金会计和基金注册登记等业务。风险管理部</w:t>
      </w:r>
      <w:r w:rsidRPr="00542E19">
        <w:rPr>
          <w:rFonts w:ascii="宋体" w:hAnsi="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截止到</w:t>
      </w:r>
      <w:r w:rsidRPr="00542E19">
        <w:rPr>
          <w:rFonts w:ascii="宋体" w:hAnsi="宋体"/>
          <w:kern w:val="0"/>
          <w:szCs w:val="21"/>
        </w:rPr>
        <w:t>2020年9月30日，公司总人数为636人，其中研究员和基金经理超过90%拥有硕士及以上学位。</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公司已经建立健全投资管理制度、风险控制制度、内部监察制度、财务管理制度、人事管理制度、信息披露制度和员工行为准则等公司管理制度体系。</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二、主要成员情况</w:t>
      </w:r>
    </w:p>
    <w:p w:rsidR="00095DE4" w:rsidRPr="004A3137"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1、基金管理人董事会成员</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江向阳先生，博士。中共党员，南开大学国际金融博士，清华大学金融媒体</w:t>
      </w:r>
      <w:r w:rsidRPr="00542E19">
        <w:rPr>
          <w:rFonts w:ascii="宋体" w:hAnsi="宋体"/>
          <w:kern w:val="0"/>
          <w:szCs w:val="21"/>
        </w:rPr>
        <w:t>EMBA</w:t>
      </w:r>
      <w:r w:rsidRPr="00542E19">
        <w:rPr>
          <w:rFonts w:ascii="宋体" w:hAnsi="宋体" w:hint="eastAsia"/>
          <w:kern w:val="0"/>
          <w:szCs w:val="21"/>
        </w:rPr>
        <w:t>。</w:t>
      </w:r>
      <w:hyperlink r:id="rId20" w:history="1">
        <w:dir w:val="ltr">
          <w:r w:rsidRPr="00542E19">
            <w:rPr>
              <w:rFonts w:ascii="宋体" w:hAnsi="宋体"/>
              <w:kern w:val="0"/>
            </w:rPr>
            <w:t>1986-1990</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t>‬</w:t>
          </w:r>
        </w:dir>
      </w:hyperlink>
      <w:r w:rsidRPr="00542E19">
        <w:rPr>
          <w:rFonts w:ascii="宋体" w:hAnsi="宋体" w:hint="eastAsia"/>
          <w:kern w:val="0"/>
          <w:szCs w:val="21"/>
        </w:rPr>
        <w:t>年就读于北京师范大学信息与情报学系，获学士学位；</w:t>
      </w:r>
      <w:hyperlink r:id="rId21" w:history="1">
        <w:dir w:val="ltr">
          <w:r w:rsidRPr="00542E19">
            <w:rPr>
              <w:rFonts w:ascii="宋体" w:hAnsi="宋体"/>
              <w:kern w:val="0"/>
            </w:rPr>
            <w:t>1994-1997</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t>‬</w:t>
          </w:r>
        </w:dir>
      </w:hyperlink>
      <w:r w:rsidRPr="00542E19">
        <w:rPr>
          <w:rFonts w:ascii="宋体" w:hAnsi="宋体" w:hint="eastAsia"/>
          <w:kern w:val="0"/>
          <w:szCs w:val="21"/>
        </w:rPr>
        <w:t>年就读于中国政法大学研究生院，获法学硕士学位；</w:t>
      </w:r>
      <w:hyperlink r:id="rId22" w:history="1">
        <w:dir w:val="ltr">
          <w:r w:rsidRPr="00542E19">
            <w:rPr>
              <w:rFonts w:ascii="宋体" w:hAnsi="宋体"/>
              <w:kern w:val="0"/>
            </w:rPr>
            <w:t>2003-2006</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t>‬</w:t>
          </w:r>
        </w:dir>
      </w:hyperlink>
      <w:r w:rsidRPr="00542E19">
        <w:rPr>
          <w:rFonts w:ascii="宋体" w:hAnsi="宋体" w:hint="eastAsia"/>
          <w:kern w:val="0"/>
          <w:szCs w:val="21"/>
        </w:rPr>
        <w:t>年，就读于南开大学国际经济研究所，获国际金融博士学位。</w:t>
      </w:r>
      <w:r w:rsidRPr="00542E19">
        <w:rPr>
          <w:rFonts w:ascii="宋体" w:hAnsi="宋体"/>
          <w:kern w:val="0"/>
          <w:szCs w:val="21"/>
        </w:rPr>
        <w:t>1997</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月至</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月就职于中国证监会，历任办公厅、党办副主任兼新闻办（网信办）主任；中国证监会办公厅副巡视员；中国证监会深圳专员办处长、副专员；中国证监会期货监管部副处长、处长。</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1</w:t>
      </w:r>
      <w:r w:rsidRPr="00542E19">
        <w:rPr>
          <w:rFonts w:ascii="宋体" w:hAnsi="宋体" w:hint="eastAsia"/>
          <w:kern w:val="0"/>
          <w:szCs w:val="21"/>
        </w:rPr>
        <w:t>月至</w:t>
      </w:r>
      <w:r w:rsidRPr="00542E19">
        <w:rPr>
          <w:rFonts w:ascii="宋体" w:hAnsi="宋体"/>
          <w:kern w:val="0"/>
          <w:szCs w:val="21"/>
        </w:rPr>
        <w:t>7</w:t>
      </w:r>
      <w:r w:rsidRPr="00542E19">
        <w:rPr>
          <w:rFonts w:ascii="宋体" w:hAnsi="宋体" w:hint="eastAsia"/>
          <w:kern w:val="0"/>
          <w:szCs w:val="21"/>
        </w:rPr>
        <w:t>月，任招商局金融集团副总经理、博时基金管理有限公司党委副书记。</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10</w:t>
      </w:r>
      <w:r w:rsidRPr="00542E19">
        <w:rPr>
          <w:rFonts w:ascii="宋体" w:hAnsi="宋体" w:hint="eastAsia"/>
          <w:kern w:val="0"/>
          <w:szCs w:val="21"/>
        </w:rPr>
        <w:t>月任博时基金管理有限公司总经理。自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w:t>
      </w:r>
      <w:r w:rsidRPr="00542E19">
        <w:rPr>
          <w:rFonts w:ascii="宋体" w:hAnsi="宋体" w:hint="eastAsia"/>
          <w:kern w:val="0"/>
          <w:szCs w:val="21"/>
        </w:rPr>
        <w:t>月</w:t>
      </w:r>
      <w:r w:rsidRPr="00542E19">
        <w:rPr>
          <w:rFonts w:ascii="宋体" w:hAnsi="宋体"/>
          <w:kern w:val="0"/>
          <w:szCs w:val="21"/>
        </w:rPr>
        <w:t>9</w:t>
      </w:r>
      <w:r w:rsidRPr="00542E19">
        <w:rPr>
          <w:rFonts w:ascii="宋体" w:hAnsi="宋体" w:hint="eastAsia"/>
          <w:kern w:val="0"/>
          <w:szCs w:val="21"/>
        </w:rPr>
        <w:t>日至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15</w:t>
      </w:r>
      <w:r w:rsidRPr="00542E19">
        <w:rPr>
          <w:rFonts w:ascii="宋体" w:hAnsi="宋体" w:hint="eastAsia"/>
          <w:kern w:val="0"/>
          <w:szCs w:val="21"/>
        </w:rPr>
        <w:t>日代为履行博时基金董事长职务。自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w:t>
      </w:r>
      <w:r w:rsidRPr="00542E19">
        <w:rPr>
          <w:rFonts w:ascii="宋体" w:hAnsi="宋体" w:hint="eastAsia"/>
          <w:kern w:val="0"/>
          <w:szCs w:val="21"/>
        </w:rPr>
        <w:t>日起任博时基金管理有限公司党委书记。自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15</w:t>
      </w:r>
      <w:r w:rsidRPr="00542E19">
        <w:rPr>
          <w:rFonts w:ascii="宋体" w:hAnsi="宋体" w:hint="eastAsia"/>
          <w:kern w:val="0"/>
          <w:szCs w:val="21"/>
        </w:rPr>
        <w:t>日起，任博时基金管理有限公司董事长。</w:t>
      </w:r>
      <w:r>
        <w:t>‬</w:t>
      </w:r>
      <w:r>
        <w:t>‬</w:t>
      </w:r>
      <w:r>
        <w:t>‬</w:t>
      </w:r>
      <w:r>
        <w:t>‬</w:t>
      </w:r>
      <w:r>
        <w:t>‬</w:t>
      </w:r>
      <w:r>
        <w:t>‬</w:t>
      </w:r>
      <w:r w:rsidR="00CC55D2">
        <w:t>‬</w:t>
      </w:r>
      <w:r w:rsidR="00CC55D2">
        <w:t>‬</w:t>
      </w:r>
      <w:r w:rsidR="00CC55D2">
        <w:t>‬</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苏敏女士</w:t>
      </w:r>
      <w:r w:rsidRPr="00542E19">
        <w:rPr>
          <w:rFonts w:ascii="宋体" w:hAnsi="宋体"/>
          <w:kern w:val="0"/>
          <w:szCs w:val="21"/>
        </w:rPr>
        <w:t>,</w:t>
      </w:r>
      <w:r w:rsidRPr="00542E19">
        <w:rPr>
          <w:rFonts w:ascii="宋体" w:hAnsi="宋体" w:hint="eastAsia"/>
          <w:kern w:val="0"/>
          <w:szCs w:val="21"/>
        </w:rPr>
        <w:t>分别于</w:t>
      </w:r>
      <w:r w:rsidRPr="00542E19">
        <w:rPr>
          <w:rFonts w:ascii="宋体" w:hAnsi="宋体"/>
          <w:kern w:val="0"/>
          <w:szCs w:val="21"/>
        </w:rPr>
        <w:t xml:space="preserve">1990 </w:t>
      </w:r>
      <w:r w:rsidRPr="00542E19">
        <w:rPr>
          <w:rFonts w:ascii="宋体" w:hAnsi="宋体" w:hint="eastAsia"/>
          <w:kern w:val="0"/>
          <w:szCs w:val="21"/>
        </w:rPr>
        <w:t>年</w:t>
      </w:r>
      <w:r w:rsidRPr="00542E19">
        <w:rPr>
          <w:rFonts w:ascii="宋体" w:hAnsi="宋体"/>
          <w:kern w:val="0"/>
          <w:szCs w:val="21"/>
        </w:rPr>
        <w:t xml:space="preserve">7 </w:t>
      </w:r>
      <w:r w:rsidRPr="00542E19">
        <w:rPr>
          <w:rFonts w:ascii="宋体" w:hAnsi="宋体" w:hint="eastAsia"/>
          <w:kern w:val="0"/>
          <w:szCs w:val="21"/>
        </w:rPr>
        <w:t>月及</w:t>
      </w:r>
      <w:r w:rsidRPr="00542E19">
        <w:rPr>
          <w:rFonts w:ascii="宋体" w:hAnsi="宋体"/>
          <w:kern w:val="0"/>
          <w:szCs w:val="21"/>
        </w:rPr>
        <w:t xml:space="preserve">2002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月获得上海财经大学金融专业学士学位和中国科学技术大学工商管理硕士学位。苏女士分别于</w:t>
      </w:r>
      <w:r w:rsidRPr="00542E19">
        <w:rPr>
          <w:rFonts w:ascii="宋体" w:hAnsi="宋体"/>
          <w:kern w:val="0"/>
          <w:szCs w:val="21"/>
        </w:rPr>
        <w:t xml:space="preserve">1998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w:t>
      </w:r>
      <w:r w:rsidRPr="00542E19">
        <w:rPr>
          <w:rFonts w:ascii="宋体" w:hAnsi="宋体"/>
          <w:kern w:val="0"/>
          <w:szCs w:val="21"/>
        </w:rPr>
        <w:t xml:space="preserve">1999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月及</w:t>
      </w:r>
      <w:r w:rsidRPr="00542E19">
        <w:rPr>
          <w:rFonts w:ascii="宋体" w:hAnsi="宋体"/>
          <w:kern w:val="0"/>
          <w:szCs w:val="21"/>
        </w:rPr>
        <w:t xml:space="preserve">2008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月及</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月起任招商局金融集团有限公司总经理及董事；自</w:t>
      </w:r>
      <w:r w:rsidRPr="00542E19">
        <w:rPr>
          <w:rFonts w:ascii="宋体" w:hAnsi="宋体"/>
          <w:kern w:val="0"/>
          <w:szCs w:val="21"/>
        </w:rPr>
        <w:t>2016</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月起任招商证券股份有限公司（上海证券交易所上市公司，股票代码：</w:t>
      </w:r>
      <w:r w:rsidRPr="00542E19">
        <w:rPr>
          <w:rFonts w:ascii="宋体" w:hAnsi="宋体"/>
          <w:kern w:val="0"/>
          <w:szCs w:val="21"/>
        </w:rPr>
        <w:t>600999</w:t>
      </w:r>
      <w:r w:rsidRPr="00542E19">
        <w:rPr>
          <w:rFonts w:ascii="宋体" w:hAnsi="宋体" w:hint="eastAsia"/>
          <w:kern w:val="0"/>
          <w:szCs w:val="21"/>
        </w:rPr>
        <w:t>；香港联交所上市公司，股票代码：</w:t>
      </w:r>
      <w:r w:rsidRPr="00542E19">
        <w:rPr>
          <w:rFonts w:ascii="宋体" w:hAnsi="宋体"/>
          <w:kern w:val="0"/>
          <w:szCs w:val="21"/>
        </w:rPr>
        <w:t>6099</w:t>
      </w:r>
      <w:r w:rsidRPr="00542E19">
        <w:rPr>
          <w:rFonts w:ascii="宋体" w:hAnsi="宋体" w:hint="eastAsia"/>
          <w:kern w:val="0"/>
          <w:szCs w:val="21"/>
        </w:rPr>
        <w:t>）董事；自</w:t>
      </w:r>
      <w:r w:rsidRPr="00542E19">
        <w:rPr>
          <w:rFonts w:ascii="宋体" w:hAnsi="宋体"/>
          <w:kern w:val="0"/>
          <w:szCs w:val="21"/>
        </w:rPr>
        <w:t xml:space="preserve">2014 </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月起担任招商银行股份有限公司（上海证券交易所上市公司，股票代码：</w:t>
      </w:r>
      <w:r w:rsidRPr="00542E19">
        <w:rPr>
          <w:rFonts w:ascii="宋体" w:hAnsi="宋体"/>
          <w:kern w:val="0"/>
          <w:szCs w:val="21"/>
        </w:rPr>
        <w:t>600036</w:t>
      </w:r>
      <w:r w:rsidRPr="00542E19">
        <w:rPr>
          <w:rFonts w:ascii="宋体" w:hAnsi="宋体" w:hint="eastAsia"/>
          <w:kern w:val="0"/>
          <w:szCs w:val="21"/>
        </w:rPr>
        <w:t>；香港联交所上市公司，股票代码：</w:t>
      </w:r>
      <w:r w:rsidRPr="00542E19">
        <w:rPr>
          <w:rFonts w:ascii="宋体" w:hAnsi="宋体"/>
          <w:kern w:val="0"/>
          <w:szCs w:val="21"/>
        </w:rPr>
        <w:t>3968</w:t>
      </w:r>
      <w:r w:rsidRPr="00542E19">
        <w:rPr>
          <w:rFonts w:ascii="宋体" w:hAnsi="宋体" w:hint="eastAsia"/>
          <w:kern w:val="0"/>
          <w:szCs w:val="21"/>
        </w:rPr>
        <w:t>）董事。自</w:t>
      </w:r>
      <w:r w:rsidRPr="00542E19">
        <w:rPr>
          <w:rFonts w:ascii="宋体" w:hAnsi="宋体"/>
          <w:kern w:val="0"/>
          <w:szCs w:val="21"/>
        </w:rPr>
        <w:t xml:space="preserve">2016 </w:t>
      </w:r>
      <w:r w:rsidRPr="00542E19">
        <w:rPr>
          <w:rFonts w:ascii="宋体" w:hAnsi="宋体" w:hint="eastAsia"/>
          <w:kern w:val="0"/>
          <w:szCs w:val="21"/>
        </w:rPr>
        <w:t>年</w:t>
      </w:r>
      <w:r w:rsidRPr="00542E19">
        <w:rPr>
          <w:rFonts w:ascii="宋体" w:hAnsi="宋体"/>
          <w:kern w:val="0"/>
          <w:szCs w:val="21"/>
        </w:rPr>
        <w:t xml:space="preserve">1 </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月任招商局资本投资有限责任公司监事；自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月任招商局创新投资管理有限公司董事；自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 xml:space="preserve">2017 </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月任深圳招商启航互联网投资管理有限公司董事长；自</w:t>
      </w:r>
      <w:r w:rsidRPr="00542E19">
        <w:rPr>
          <w:rFonts w:ascii="宋体" w:hAnsi="宋体"/>
          <w:kern w:val="0"/>
          <w:szCs w:val="21"/>
        </w:rPr>
        <w:t xml:space="preserve">2013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w:t>
      </w:r>
      <w:r w:rsidRPr="00542E19">
        <w:rPr>
          <w:rFonts w:ascii="宋体" w:hAnsi="宋体" w:hint="eastAsia"/>
          <w:kern w:val="0"/>
          <w:szCs w:val="21"/>
        </w:rPr>
        <w:lastRenderedPageBreak/>
        <w:t>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8 </w:t>
      </w:r>
      <w:r w:rsidRPr="00542E19">
        <w:rPr>
          <w:rFonts w:ascii="宋体" w:hAnsi="宋体" w:hint="eastAsia"/>
          <w:kern w:val="0"/>
          <w:szCs w:val="21"/>
        </w:rPr>
        <w:t>月任中远海运能源运输股份有限公司（上海证券交易所上市公司，股票代码：</w:t>
      </w:r>
      <w:r w:rsidRPr="00542E19">
        <w:rPr>
          <w:rFonts w:ascii="宋体" w:hAnsi="宋体"/>
          <w:kern w:val="0"/>
          <w:szCs w:val="21"/>
        </w:rPr>
        <w:t>600026</w:t>
      </w:r>
      <w:r w:rsidRPr="00542E19">
        <w:rPr>
          <w:rFonts w:ascii="宋体" w:hAnsi="宋体" w:hint="eastAsia"/>
          <w:kern w:val="0"/>
          <w:szCs w:val="21"/>
        </w:rPr>
        <w:t>；香港联交所上市公司，股票代码：</w:t>
      </w:r>
      <w:r w:rsidRPr="00542E19">
        <w:rPr>
          <w:rFonts w:ascii="宋体" w:hAnsi="宋体"/>
          <w:kern w:val="0"/>
          <w:szCs w:val="21"/>
        </w:rPr>
        <w:t>1138</w:t>
      </w:r>
      <w:r w:rsidRPr="00542E19">
        <w:rPr>
          <w:rFonts w:ascii="宋体" w:hAnsi="宋体" w:hint="eastAsia"/>
          <w:kern w:val="0"/>
          <w:szCs w:val="21"/>
        </w:rPr>
        <w:t>）董事；自</w:t>
      </w:r>
      <w:r w:rsidRPr="00542E19">
        <w:rPr>
          <w:rFonts w:ascii="宋体" w:hAnsi="宋体"/>
          <w:kern w:val="0"/>
          <w:szCs w:val="21"/>
        </w:rPr>
        <w:t xml:space="preserve">2013 </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月任中远海运发展股份有限公司（上海证券交易所上市公司，股票代码：</w:t>
      </w:r>
      <w:r w:rsidRPr="00542E19">
        <w:rPr>
          <w:rFonts w:ascii="宋体" w:hAnsi="宋体"/>
          <w:kern w:val="0"/>
          <w:szCs w:val="21"/>
        </w:rPr>
        <w:t>601866</w:t>
      </w:r>
      <w:r w:rsidRPr="00542E19">
        <w:rPr>
          <w:rFonts w:ascii="宋体" w:hAnsi="宋体" w:hint="eastAsia"/>
          <w:kern w:val="0"/>
          <w:szCs w:val="21"/>
        </w:rPr>
        <w:t>；香港联交所上市公司，股票代码：</w:t>
      </w:r>
      <w:r w:rsidRPr="00542E19">
        <w:rPr>
          <w:rFonts w:ascii="宋体" w:hAnsi="宋体"/>
          <w:kern w:val="0"/>
          <w:szCs w:val="21"/>
        </w:rPr>
        <w:t>2866</w:t>
      </w:r>
      <w:r w:rsidRPr="00542E19">
        <w:rPr>
          <w:rFonts w:ascii="宋体" w:hAnsi="宋体" w:hint="eastAsia"/>
          <w:kern w:val="0"/>
          <w:szCs w:val="21"/>
        </w:rPr>
        <w:t>）董事；自</w:t>
      </w:r>
      <w:r w:rsidRPr="00542E19">
        <w:rPr>
          <w:rFonts w:ascii="宋体" w:hAnsi="宋体"/>
          <w:kern w:val="0"/>
          <w:szCs w:val="21"/>
        </w:rPr>
        <w:t xml:space="preserve">2009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月担任徽商银行股份有限公司（香港联交所上市公司，股票代码：</w:t>
      </w:r>
      <w:r w:rsidRPr="00542E19">
        <w:rPr>
          <w:rFonts w:ascii="宋体" w:hAnsi="宋体"/>
          <w:kern w:val="0"/>
          <w:szCs w:val="21"/>
        </w:rPr>
        <w:t>3698</w:t>
      </w:r>
      <w:r w:rsidRPr="00542E19">
        <w:rPr>
          <w:rFonts w:ascii="宋体" w:hAnsi="宋体" w:hint="eastAsia"/>
          <w:kern w:val="0"/>
          <w:szCs w:val="21"/>
        </w:rPr>
        <w:t>）董事；自</w:t>
      </w:r>
      <w:r w:rsidRPr="00542E19">
        <w:rPr>
          <w:rFonts w:ascii="宋体" w:hAnsi="宋体"/>
          <w:kern w:val="0"/>
          <w:szCs w:val="21"/>
        </w:rPr>
        <w:t xml:space="preserve">2008 </w:t>
      </w:r>
      <w:r w:rsidRPr="00542E19">
        <w:rPr>
          <w:rFonts w:ascii="宋体" w:hAnsi="宋体" w:hint="eastAsia"/>
          <w:kern w:val="0"/>
          <w:szCs w:val="21"/>
        </w:rPr>
        <w:t>年</w:t>
      </w:r>
      <w:r w:rsidRPr="00542E19">
        <w:rPr>
          <w:rFonts w:ascii="宋体" w:hAnsi="宋体"/>
          <w:kern w:val="0"/>
          <w:szCs w:val="21"/>
        </w:rPr>
        <w:t xml:space="preserve">3 </w:t>
      </w:r>
      <w:r w:rsidRPr="00542E19">
        <w:rPr>
          <w:rFonts w:ascii="宋体" w:hAnsi="宋体" w:hint="eastAsia"/>
          <w:kern w:val="0"/>
          <w:szCs w:val="21"/>
        </w:rPr>
        <w:t>月至</w:t>
      </w:r>
      <w:r w:rsidRPr="00542E19">
        <w:rPr>
          <w:rFonts w:ascii="宋体" w:hAnsi="宋体"/>
          <w:kern w:val="0"/>
          <w:szCs w:val="21"/>
        </w:rPr>
        <w:t>2011</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月担任安徽省皖能股份有限公司（深圳证券交易所上市公司，股票代码︰</w:t>
      </w:r>
      <w:r w:rsidRPr="00542E19">
        <w:rPr>
          <w:rFonts w:ascii="宋体" w:hAnsi="宋体"/>
          <w:kern w:val="0"/>
          <w:szCs w:val="21"/>
        </w:rPr>
        <w:t>000543</w:t>
      </w:r>
      <w:r w:rsidRPr="00542E19">
        <w:rPr>
          <w:rFonts w:ascii="宋体" w:hAnsi="宋体" w:hint="eastAsia"/>
          <w:kern w:val="0"/>
          <w:szCs w:val="21"/>
        </w:rPr>
        <w:t>）董事。苏女士亦拥有会计等相关管理经验，其经验包括：自</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3 </w:t>
      </w:r>
      <w:r w:rsidRPr="00542E19">
        <w:rPr>
          <w:rFonts w:ascii="宋体" w:hAnsi="宋体" w:hint="eastAsia"/>
          <w:kern w:val="0"/>
          <w:szCs w:val="21"/>
        </w:rPr>
        <w:t>月至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8 </w:t>
      </w:r>
      <w:r w:rsidRPr="00542E19">
        <w:rPr>
          <w:rFonts w:ascii="宋体" w:hAnsi="宋体" w:hint="eastAsia"/>
          <w:kern w:val="0"/>
          <w:szCs w:val="21"/>
        </w:rPr>
        <w:t>月担任中国海运（集团）总公司总会计师；自</w:t>
      </w:r>
      <w:r w:rsidRPr="00542E19">
        <w:rPr>
          <w:rFonts w:ascii="宋体" w:hAnsi="宋体"/>
          <w:kern w:val="0"/>
          <w:szCs w:val="21"/>
        </w:rPr>
        <w:t xml:space="preserve">2007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月担任安徽省能源集团有限公司总会计师，并于</w:t>
      </w:r>
      <w:r w:rsidRPr="00542E19">
        <w:rPr>
          <w:rFonts w:ascii="宋体" w:hAnsi="宋体"/>
          <w:kern w:val="0"/>
          <w:szCs w:val="21"/>
        </w:rPr>
        <w:t xml:space="preserve">2010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月担任该公司副总经理。自</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9</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姚俊先生，博士。</w:t>
      </w:r>
      <w:r w:rsidRPr="00542E19">
        <w:rPr>
          <w:rFonts w:ascii="宋体" w:hAnsi="宋体"/>
          <w:kern w:val="0"/>
          <w:szCs w:val="21"/>
        </w:rPr>
        <w:t>1993</w:t>
      </w:r>
      <w:r w:rsidRPr="00542E19">
        <w:rPr>
          <w:rFonts w:ascii="宋体" w:hAnsi="宋体" w:hint="eastAsia"/>
          <w:kern w:val="0"/>
          <w:szCs w:val="21"/>
        </w:rPr>
        <w:t>年至</w:t>
      </w:r>
      <w:r w:rsidRPr="00542E19">
        <w:rPr>
          <w:rFonts w:ascii="宋体" w:hAnsi="宋体"/>
          <w:kern w:val="0"/>
          <w:szCs w:val="21"/>
        </w:rPr>
        <w:t>1997</w:t>
      </w:r>
      <w:r w:rsidRPr="00542E19">
        <w:rPr>
          <w:rFonts w:ascii="宋体" w:hAnsi="宋体" w:hint="eastAsia"/>
          <w:kern w:val="0"/>
          <w:szCs w:val="21"/>
        </w:rPr>
        <w:t>年在华南理工大学习，获双学士学位。</w:t>
      </w:r>
      <w:r w:rsidRPr="00542E19">
        <w:rPr>
          <w:rFonts w:ascii="宋体" w:hAnsi="宋体"/>
          <w:kern w:val="0"/>
          <w:szCs w:val="21"/>
        </w:rPr>
        <w:t>1997</w:t>
      </w:r>
      <w:r w:rsidRPr="00542E19">
        <w:rPr>
          <w:rFonts w:ascii="宋体" w:hAnsi="宋体" w:hint="eastAsia"/>
          <w:kern w:val="0"/>
          <w:szCs w:val="21"/>
        </w:rPr>
        <w:t>年至</w:t>
      </w:r>
      <w:r w:rsidRPr="00542E19">
        <w:rPr>
          <w:rFonts w:ascii="宋体" w:hAnsi="宋体"/>
          <w:kern w:val="0"/>
          <w:szCs w:val="21"/>
        </w:rPr>
        <w:t>2000</w:t>
      </w:r>
      <w:r w:rsidRPr="00542E19">
        <w:rPr>
          <w:rFonts w:ascii="宋体" w:hAnsi="宋体" w:hint="eastAsia"/>
          <w:kern w:val="0"/>
          <w:szCs w:val="21"/>
        </w:rPr>
        <w:t>年在华南理工大学工商管理专业学习，获硕士学位。</w:t>
      </w:r>
      <w:r w:rsidRPr="00542E19">
        <w:rPr>
          <w:rFonts w:ascii="宋体" w:hAnsi="宋体"/>
          <w:kern w:val="0"/>
          <w:szCs w:val="21"/>
        </w:rPr>
        <w:t>2002</w:t>
      </w:r>
      <w:r w:rsidRPr="00542E19">
        <w:rPr>
          <w:rFonts w:ascii="宋体" w:hAnsi="宋体" w:hint="eastAsia"/>
          <w:kern w:val="0"/>
          <w:szCs w:val="21"/>
        </w:rPr>
        <w:t>年</w:t>
      </w:r>
      <w:r w:rsidRPr="00542E19">
        <w:rPr>
          <w:rFonts w:ascii="宋体" w:hAnsi="宋体"/>
          <w:kern w:val="0"/>
          <w:szCs w:val="21"/>
        </w:rPr>
        <w:t>9月至2005</w:t>
      </w:r>
      <w:r w:rsidRPr="00542E19">
        <w:rPr>
          <w:rFonts w:ascii="宋体" w:hAnsi="宋体" w:hint="eastAsia"/>
          <w:kern w:val="0"/>
          <w:szCs w:val="21"/>
        </w:rPr>
        <w:t>年</w:t>
      </w:r>
      <w:r w:rsidRPr="00542E19">
        <w:rPr>
          <w:rFonts w:ascii="宋体" w:hAnsi="宋体"/>
          <w:kern w:val="0"/>
          <w:szCs w:val="21"/>
        </w:rPr>
        <w:t>7月在华南理工大学管理学专业学习，获得博士学位。2000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w:t>
      </w:r>
      <w:r w:rsidRPr="00542E19">
        <w:rPr>
          <w:rFonts w:ascii="宋体" w:hAnsi="宋体"/>
          <w:kern w:val="0"/>
          <w:szCs w:val="21"/>
        </w:rPr>
        <w:t>2002</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月任广东电信广州分公司业务部业务主管。</w:t>
      </w:r>
      <w:r w:rsidRPr="00542E19">
        <w:rPr>
          <w:rFonts w:ascii="宋体" w:hAnsi="宋体"/>
          <w:kern w:val="0"/>
          <w:szCs w:val="21"/>
        </w:rPr>
        <w:t>2005</w:t>
      </w:r>
      <w:r w:rsidRPr="00542E19">
        <w:rPr>
          <w:rFonts w:ascii="宋体" w:hAnsi="宋体" w:hint="eastAsia"/>
          <w:kern w:val="0"/>
          <w:szCs w:val="21"/>
        </w:rPr>
        <w:t>年</w:t>
      </w:r>
      <w:r w:rsidRPr="00542E19">
        <w:rPr>
          <w:rFonts w:ascii="宋体" w:hAnsi="宋体"/>
          <w:kern w:val="0"/>
          <w:szCs w:val="21"/>
        </w:rPr>
        <w:t>9月至2007</w:t>
      </w:r>
      <w:r w:rsidRPr="00542E19">
        <w:rPr>
          <w:rFonts w:ascii="宋体" w:hAnsi="宋体" w:hint="eastAsia"/>
          <w:kern w:val="0"/>
          <w:szCs w:val="21"/>
        </w:rPr>
        <w:t>年</w:t>
      </w:r>
      <w:r w:rsidRPr="00542E19">
        <w:rPr>
          <w:rFonts w:ascii="宋体" w:hAnsi="宋体"/>
          <w:kern w:val="0"/>
          <w:szCs w:val="21"/>
        </w:rPr>
        <w:t>7月，招商局集团博士后工作站任博士后研究员。2007</w:t>
      </w:r>
      <w:r w:rsidRPr="00542E19">
        <w:rPr>
          <w:rFonts w:ascii="宋体" w:hAnsi="宋体" w:hint="eastAsia"/>
          <w:kern w:val="0"/>
          <w:szCs w:val="21"/>
        </w:rPr>
        <w:t>年</w:t>
      </w:r>
      <w:r w:rsidRPr="00542E19">
        <w:rPr>
          <w:rFonts w:ascii="宋体" w:hAnsi="宋体"/>
          <w:kern w:val="0"/>
          <w:szCs w:val="21"/>
        </w:rPr>
        <w:t>8月至2014</w:t>
      </w:r>
      <w:r w:rsidRPr="00542E19">
        <w:rPr>
          <w:rFonts w:ascii="宋体" w:hAnsi="宋体" w:hint="eastAsia"/>
          <w:kern w:val="0"/>
          <w:szCs w:val="21"/>
        </w:rPr>
        <w:t>年</w:t>
      </w:r>
      <w:r w:rsidRPr="00542E19">
        <w:rPr>
          <w:rFonts w:ascii="宋体" w:hAnsi="宋体"/>
          <w:kern w:val="0"/>
          <w:szCs w:val="21"/>
        </w:rPr>
        <w:t>5月，任招商证券研究发展中心分析师。2014</w:t>
      </w:r>
      <w:r w:rsidRPr="00542E19">
        <w:rPr>
          <w:rFonts w:ascii="宋体" w:hAnsi="宋体" w:hint="eastAsia"/>
          <w:kern w:val="0"/>
          <w:szCs w:val="21"/>
        </w:rPr>
        <w:t>年</w:t>
      </w:r>
      <w:r w:rsidRPr="00542E19">
        <w:rPr>
          <w:rFonts w:ascii="宋体" w:hAnsi="宋体"/>
          <w:kern w:val="0"/>
          <w:szCs w:val="21"/>
        </w:rPr>
        <w:t>6月至2015</w:t>
      </w:r>
      <w:r w:rsidRPr="00542E19">
        <w:rPr>
          <w:rFonts w:ascii="宋体" w:hAnsi="宋体" w:hint="eastAsia"/>
          <w:kern w:val="0"/>
          <w:szCs w:val="21"/>
        </w:rPr>
        <w:t>年</w:t>
      </w:r>
      <w:r w:rsidRPr="00542E19">
        <w:rPr>
          <w:rFonts w:ascii="宋体" w:hAnsi="宋体"/>
          <w:kern w:val="0"/>
          <w:szCs w:val="21"/>
        </w:rPr>
        <w:t>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w:t>
      </w:r>
      <w:r w:rsidRPr="00542E19">
        <w:rPr>
          <w:rFonts w:ascii="宋体" w:hAnsi="宋体"/>
          <w:kern w:val="0"/>
          <w:szCs w:val="21"/>
        </w:rPr>
        <w:t>8</w:t>
      </w:r>
      <w:r w:rsidRPr="00542E19">
        <w:rPr>
          <w:rFonts w:ascii="宋体" w:hAnsi="宋体" w:hint="eastAsia"/>
          <w:kern w:val="0"/>
          <w:szCs w:val="21"/>
        </w:rPr>
        <w:t>日起，任博时基金管理有限公司董事。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何翔先生，北京大学财务学专业学士。</w:t>
      </w:r>
      <w:r w:rsidRPr="00542E19">
        <w:rPr>
          <w:rFonts w:ascii="宋体" w:hAnsi="宋体"/>
          <w:kern w:val="0"/>
          <w:szCs w:val="21"/>
        </w:rPr>
        <w:t>1995</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2000</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月任中国农业银行广西分行国际业务部科员、副科长。</w:t>
      </w:r>
      <w:r w:rsidRPr="00542E19">
        <w:rPr>
          <w:rFonts w:ascii="宋体" w:hAnsi="宋体"/>
          <w:kern w:val="0"/>
          <w:szCs w:val="21"/>
        </w:rPr>
        <w:t>2000</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月任中国长城资产管理公司南宁办事处副科长、科长、副处长、高级经理。</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月，任中国长城资产管理公司乌鲁木齐办事处总经理助理、副总经理；</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月，任中国长城资产管理公司广西分公司副总经理。</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月中国长城资产管理股份有限公司资金管理部副总经理。</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月至今，任中国长城资产管理股份有限公司投资投行部（资产经营三部）副总经理。自</w:t>
      </w:r>
      <w:r w:rsidRPr="00542E19">
        <w:rPr>
          <w:rFonts w:ascii="宋体" w:hAnsi="宋体"/>
          <w:kern w:val="0"/>
          <w:szCs w:val="21"/>
        </w:rPr>
        <w:t>2020年12月8日起，任博时基金管理有限公司董事。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李楚楚女士，香港注册会计师。</w:t>
      </w:r>
      <w:r w:rsidRPr="00542E19">
        <w:rPr>
          <w:rFonts w:ascii="宋体" w:hAnsi="宋体"/>
          <w:kern w:val="0"/>
          <w:szCs w:val="21"/>
        </w:rPr>
        <w:t>2008年以全额奖学金被香港中文大学录取，并获得工商管理学士学位。2012年起加入毕马威香港办公室审计部门，为大型企业提供上市财务、审计、商业咨询及资本市场服务；2014</w:t>
      </w:r>
      <w:r w:rsidRPr="00542E19">
        <w:rPr>
          <w:rFonts w:ascii="宋体" w:hAnsi="宋体" w:hint="eastAsia"/>
          <w:kern w:val="0"/>
          <w:szCs w:val="21"/>
        </w:rPr>
        <w:t>年起，调入毕马威香港办公室咨询部门，历任高级顾问和咨询经理，参与了众多并购、上市、尽职调查、公司治理、合规管理、风险管理等项目，积累了丰富的行业知识及企业运营管理经验。</w:t>
      </w:r>
      <w:r w:rsidRPr="00542E19">
        <w:rPr>
          <w:rFonts w:ascii="宋体" w:hAnsi="宋体"/>
          <w:kern w:val="0"/>
          <w:szCs w:val="21"/>
        </w:rPr>
        <w:t>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w:t>
      </w:r>
      <w:r w:rsidRPr="00542E19">
        <w:rPr>
          <w:rFonts w:ascii="宋体" w:hAnsi="宋体" w:hint="eastAsia"/>
          <w:kern w:val="0"/>
          <w:szCs w:val="21"/>
        </w:rPr>
        <w:lastRenderedPageBreak/>
        <w:t>务（保险、资产管理、金融科技等）、医疗保健、消费与零售、新能源与环境、科技与媒体通信等。自</w:t>
      </w:r>
      <w:r w:rsidRPr="00542E19">
        <w:rPr>
          <w:rFonts w:ascii="宋体" w:hAnsi="宋体"/>
          <w:kern w:val="0"/>
          <w:szCs w:val="21"/>
        </w:rPr>
        <w:t>2020年12月8日起，任博时基金管理有限公司董事。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姜立军先生，</w:t>
      </w:r>
      <w:r w:rsidRPr="00542E19">
        <w:rPr>
          <w:rFonts w:ascii="宋体" w:hAnsi="宋体"/>
          <w:kern w:val="0"/>
          <w:szCs w:val="21"/>
        </w:rPr>
        <w:t>1955年生，会计师，工商管理硕士（MBA）。1974年12月参加工作，历任中国远洋运输总公司财务处科</w:t>
      </w:r>
      <w:r w:rsidRPr="00542E19">
        <w:rPr>
          <w:rFonts w:ascii="宋体" w:hAnsi="宋体" w:hint="eastAsia"/>
          <w:kern w:val="0"/>
          <w:szCs w:val="21"/>
        </w:rPr>
        <w:t>员、中国</w:t>
      </w:r>
      <w:r w:rsidRPr="00542E19">
        <w:rPr>
          <w:rFonts w:ascii="宋体" w:hAnsi="宋体"/>
          <w:kern w:val="0"/>
          <w:szCs w:val="21"/>
        </w:rPr>
        <w:t>-</w:t>
      </w:r>
      <w:r w:rsidRPr="00542E19">
        <w:rPr>
          <w:rFonts w:ascii="宋体" w:hAnsi="宋体" w:hint="eastAsia"/>
          <w:kern w:val="0"/>
          <w:szCs w:val="21"/>
        </w:rPr>
        <w:t>坦桑尼亚联合海运服务公司财务部经理、日本中铃海运服务公司财务部经理、中远（英国）公司财务部经理、香港益丰船务公司财务部经理、香港</w:t>
      </w:r>
      <w:r w:rsidRPr="00542E19">
        <w:rPr>
          <w:rFonts w:ascii="宋体" w:hAnsi="宋体"/>
          <w:kern w:val="0"/>
          <w:szCs w:val="21"/>
        </w:rPr>
        <w:t>-</w:t>
      </w:r>
      <w:r w:rsidRPr="00542E19">
        <w:rPr>
          <w:rFonts w:ascii="宋体" w:hAnsi="宋体" w:hint="eastAsia"/>
          <w:kern w:val="0"/>
          <w:szCs w:val="21"/>
        </w:rPr>
        <w:t>佛罗伦租箱公司（香港上市公司）副总经理、中远太平洋有限公司（香港上市公司）副总经理、中远日本公司财务部长和营业副本部长、中远集装箱运输有限公司副总会计师等职。</w:t>
      </w:r>
      <w:r w:rsidRPr="00542E19">
        <w:rPr>
          <w:rFonts w:ascii="宋体" w:hAnsi="宋体"/>
          <w:kern w:val="0"/>
          <w:szCs w:val="21"/>
        </w:rPr>
        <w:t>2002.8-2008.7</w:t>
      </w:r>
      <w:r w:rsidRPr="00542E19">
        <w:rPr>
          <w:rFonts w:ascii="宋体" w:hAnsi="宋体" w:hint="eastAsia"/>
          <w:kern w:val="0"/>
          <w:szCs w:val="21"/>
        </w:rPr>
        <w:t>，任中远航运股份有限公司（</w:t>
      </w:r>
      <w:r w:rsidRPr="00542E19">
        <w:rPr>
          <w:rFonts w:ascii="宋体" w:hAnsi="宋体"/>
          <w:kern w:val="0"/>
          <w:szCs w:val="21"/>
        </w:rPr>
        <w:t>A</w:t>
      </w:r>
      <w:r w:rsidRPr="00542E19">
        <w:rPr>
          <w:rFonts w:ascii="宋体" w:hAnsi="宋体" w:hint="eastAsia"/>
          <w:kern w:val="0"/>
          <w:szCs w:val="21"/>
        </w:rPr>
        <w:t>股上市公司）首席执行官、董事。</w:t>
      </w:r>
      <w:r w:rsidRPr="00542E19">
        <w:rPr>
          <w:rFonts w:ascii="宋体" w:hAnsi="宋体"/>
          <w:kern w:val="0"/>
          <w:szCs w:val="21"/>
        </w:rPr>
        <w:t>2008.8-2011.12</w:t>
      </w:r>
      <w:r w:rsidRPr="00542E19">
        <w:rPr>
          <w:rFonts w:ascii="宋体" w:hAnsi="宋体" w:hint="eastAsia"/>
          <w:kern w:val="0"/>
          <w:szCs w:val="21"/>
        </w:rPr>
        <w:t>，任中远投资（新加坡）有限公司（新加坡上市公司）总裁、董事会副主席、中远控股（新加坡）有限公司总裁；并任新加坡中资企业协会会长。</w:t>
      </w:r>
      <w:r w:rsidRPr="00542E19">
        <w:rPr>
          <w:rFonts w:ascii="宋体" w:hAnsi="宋体"/>
          <w:kern w:val="0"/>
          <w:szCs w:val="21"/>
        </w:rPr>
        <w:t>2011.11-2015.12</w:t>
      </w:r>
      <w:r w:rsidRPr="00542E19">
        <w:rPr>
          <w:rFonts w:ascii="宋体" w:hAnsi="宋体" w:hint="eastAsia"/>
          <w:kern w:val="0"/>
          <w:szCs w:val="21"/>
        </w:rPr>
        <w:t>，任中国远洋控股股份有限公司执行（</w:t>
      </w:r>
      <w:r w:rsidRPr="00542E19">
        <w:rPr>
          <w:rFonts w:ascii="宋体" w:hAnsi="宋体"/>
          <w:kern w:val="0"/>
          <w:szCs w:val="21"/>
        </w:rPr>
        <w:t>A+H</w:t>
      </w:r>
      <w:r w:rsidRPr="00542E19">
        <w:rPr>
          <w:rFonts w:ascii="宋体" w:hAnsi="宋体" w:hint="eastAsia"/>
          <w:kern w:val="0"/>
          <w:szCs w:val="21"/>
        </w:rPr>
        <w:t>上市公司）执行董事、总经理。</w:t>
      </w:r>
      <w:r w:rsidRPr="00542E19">
        <w:rPr>
          <w:rFonts w:ascii="宋体" w:hAnsi="宋体"/>
          <w:kern w:val="0"/>
          <w:szCs w:val="21"/>
        </w:rPr>
        <w:t>2012.2-2015.12</w:t>
      </w:r>
      <w:r w:rsidRPr="00542E19">
        <w:rPr>
          <w:rFonts w:ascii="宋体" w:hAnsi="宋体" w:hint="eastAsia"/>
          <w:kern w:val="0"/>
          <w:szCs w:val="21"/>
        </w:rPr>
        <w:t>，兼任中国上市公司协会副监事长、天津上市公司协会副会长；</w:t>
      </w:r>
      <w:r w:rsidRPr="00542E19">
        <w:rPr>
          <w:rFonts w:ascii="宋体" w:hAnsi="宋体"/>
          <w:kern w:val="0"/>
          <w:szCs w:val="21"/>
        </w:rPr>
        <w:t>2014.9-2015.12</w:t>
      </w:r>
      <w:r w:rsidRPr="00542E19">
        <w:rPr>
          <w:rFonts w:ascii="宋体" w:hAnsi="宋体" w:hint="eastAsia"/>
          <w:kern w:val="0"/>
          <w:szCs w:val="21"/>
        </w:rPr>
        <w:t>，兼任中国上市公司协会监事会专业委员会副主任委员。自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11</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日起，任博时基金管理有限公司独立董事。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赵如冰先生，</w:t>
      </w:r>
      <w:r w:rsidRPr="00542E19">
        <w:rPr>
          <w:rFonts w:ascii="宋体" w:hAnsi="宋体"/>
          <w:kern w:val="0"/>
          <w:szCs w:val="21"/>
        </w:rPr>
        <w:t>1956</w:t>
      </w:r>
      <w:r w:rsidRPr="00542E19">
        <w:rPr>
          <w:rFonts w:ascii="宋体" w:hAnsi="宋体" w:hint="eastAsia"/>
          <w:kern w:val="0"/>
          <w:szCs w:val="21"/>
        </w:rPr>
        <w:t>年生，教授级高级工程师，国际金融专业经济学硕士研究生。赵如冰先生历任葛洲坝水力发电厂工程师、高级工程师、葛洲坝二江电厂电气分厂主任、书记；</w:t>
      </w:r>
      <w:r w:rsidRPr="00542E19">
        <w:rPr>
          <w:rFonts w:ascii="宋体" w:hAnsi="宋体"/>
          <w:kern w:val="0"/>
          <w:szCs w:val="21"/>
        </w:rPr>
        <w:t>1989.09</w:t>
      </w:r>
      <w:r w:rsidRPr="00542E19">
        <w:rPr>
          <w:rFonts w:ascii="宋体" w:hAnsi="宋体" w:hint="eastAsia"/>
          <w:kern w:val="0"/>
          <w:szCs w:val="21"/>
        </w:rPr>
        <w:t>—</w:t>
      </w:r>
      <w:r w:rsidRPr="00542E19">
        <w:rPr>
          <w:rFonts w:ascii="宋体" w:hAnsi="宋体"/>
          <w:kern w:val="0"/>
          <w:szCs w:val="21"/>
        </w:rPr>
        <w:t>1991.10</w:t>
      </w:r>
      <w:r w:rsidRPr="00542E19">
        <w:rPr>
          <w:rFonts w:ascii="宋体" w:hAnsi="宋体" w:hint="eastAsia"/>
          <w:kern w:val="0"/>
          <w:szCs w:val="21"/>
        </w:rPr>
        <w:t>任葛洲坝至上海正负</w:t>
      </w:r>
      <w:r w:rsidRPr="00542E19">
        <w:rPr>
          <w:rFonts w:ascii="宋体" w:hAnsi="宋体"/>
          <w:kern w:val="0"/>
          <w:szCs w:val="21"/>
        </w:rPr>
        <w:t>50</w:t>
      </w:r>
      <w:r w:rsidRPr="00542E19">
        <w:rPr>
          <w:rFonts w:ascii="宋体" w:hAnsi="宋体" w:hint="eastAsia"/>
          <w:kern w:val="0"/>
          <w:szCs w:val="21"/>
        </w:rPr>
        <w:t>万伏超高压直流输电换流站书记兼站长，主持参加了我国第一条直流输电工程的安装调试和运行。</w:t>
      </w:r>
      <w:r w:rsidRPr="00542E19">
        <w:rPr>
          <w:rFonts w:ascii="宋体" w:hAnsi="宋体"/>
          <w:kern w:val="0"/>
          <w:szCs w:val="21"/>
        </w:rPr>
        <w:t>1991.10</w:t>
      </w:r>
      <w:r w:rsidRPr="00542E19">
        <w:rPr>
          <w:rFonts w:ascii="宋体" w:hAnsi="宋体" w:hint="eastAsia"/>
          <w:kern w:val="0"/>
          <w:szCs w:val="21"/>
        </w:rPr>
        <w:t>—</w:t>
      </w:r>
      <w:r w:rsidRPr="00542E19">
        <w:rPr>
          <w:rFonts w:ascii="宋体" w:hAnsi="宋体"/>
          <w:kern w:val="0"/>
          <w:szCs w:val="21"/>
        </w:rPr>
        <w:t>1995.12</w:t>
      </w:r>
      <w:r w:rsidRPr="00542E19">
        <w:rPr>
          <w:rFonts w:ascii="宋体" w:hAnsi="宋体" w:hint="eastAsia"/>
          <w:kern w:val="0"/>
          <w:szCs w:val="21"/>
        </w:rPr>
        <w:t>任厂办公室主任兼外事办公室主任。</w:t>
      </w:r>
      <w:r w:rsidRPr="00542E19">
        <w:rPr>
          <w:rFonts w:ascii="宋体" w:hAnsi="宋体"/>
          <w:kern w:val="0"/>
          <w:szCs w:val="21"/>
        </w:rPr>
        <w:t>1995.12</w:t>
      </w:r>
      <w:r w:rsidRPr="00542E19">
        <w:rPr>
          <w:rFonts w:ascii="宋体" w:hAnsi="宋体" w:hint="eastAsia"/>
          <w:kern w:val="0"/>
          <w:szCs w:val="21"/>
        </w:rPr>
        <w:t>—</w:t>
      </w:r>
      <w:r w:rsidRPr="00542E19">
        <w:rPr>
          <w:rFonts w:ascii="宋体" w:hAnsi="宋体"/>
          <w:kern w:val="0"/>
          <w:szCs w:val="21"/>
        </w:rPr>
        <w:t>1999.12</w:t>
      </w:r>
      <w:r w:rsidRPr="00542E19">
        <w:rPr>
          <w:rFonts w:ascii="宋体" w:hAnsi="宋体" w:hint="eastAsia"/>
          <w:kern w:val="0"/>
          <w:szCs w:val="21"/>
        </w:rPr>
        <w:t>，赵如冰先生任华能南方开发公司党组书记、总经理，兼任中国华能集团董事、深圳南山热电股份有限公司（上市公司代码</w:t>
      </w:r>
      <w:r w:rsidRPr="00542E19">
        <w:rPr>
          <w:rFonts w:ascii="宋体" w:hAnsi="宋体"/>
          <w:kern w:val="0"/>
          <w:szCs w:val="21"/>
        </w:rPr>
        <w:t>0037</w:t>
      </w:r>
      <w:r w:rsidRPr="00542E19">
        <w:rPr>
          <w:rFonts w:ascii="宋体" w:hAnsi="宋体" w:hint="eastAsia"/>
          <w:kern w:val="0"/>
          <w:szCs w:val="21"/>
        </w:rPr>
        <w:t>）副董事长、长城证券有限责任公司副董事长、深圳华能电讯有限公司董事长。</w:t>
      </w:r>
      <w:r w:rsidRPr="00542E19">
        <w:rPr>
          <w:rFonts w:ascii="宋体" w:hAnsi="宋体"/>
          <w:kern w:val="0"/>
          <w:szCs w:val="21"/>
        </w:rPr>
        <w:t>2000.01-2004.07</w:t>
      </w:r>
      <w:r w:rsidRPr="00542E19">
        <w:rPr>
          <w:rFonts w:ascii="宋体" w:hAnsi="宋体" w:hint="eastAsia"/>
          <w:kern w:val="0"/>
          <w:szCs w:val="21"/>
        </w:rPr>
        <w:t>，华能南方公司被国家电力公司重组后，任华能房地产开发公司副总经理，长城证券有限责任公司副董事长。</w:t>
      </w:r>
      <w:r w:rsidRPr="00542E19">
        <w:rPr>
          <w:rFonts w:ascii="宋体" w:hAnsi="宋体"/>
          <w:kern w:val="0"/>
          <w:szCs w:val="21"/>
        </w:rPr>
        <w:t>2004.07-2009.03</w:t>
      </w:r>
      <w:r w:rsidRPr="00542E19">
        <w:rPr>
          <w:rFonts w:ascii="宋体" w:hAnsi="宋体" w:hint="eastAsia"/>
          <w:kern w:val="0"/>
          <w:szCs w:val="21"/>
        </w:rPr>
        <w:t>，赵如冰先生任华能房地产开发公司党组书记、总经理。</w:t>
      </w:r>
      <w:r w:rsidRPr="00542E19">
        <w:rPr>
          <w:rFonts w:ascii="宋体" w:hAnsi="宋体"/>
          <w:kern w:val="0"/>
          <w:szCs w:val="21"/>
        </w:rPr>
        <w:t xml:space="preserve">2009.12-2016.8, </w:t>
      </w:r>
      <w:r w:rsidRPr="00542E19">
        <w:rPr>
          <w:rFonts w:ascii="宋体" w:hAnsi="宋体" w:hint="eastAsia"/>
          <w:kern w:val="0"/>
          <w:szCs w:val="21"/>
        </w:rPr>
        <w:t>赵如冰先生任景顺长城基金管理公司董事长、景顺长城资产管理（深圳）公司董事长兼长城证券公司党委副书记。</w:t>
      </w:r>
      <w:r w:rsidRPr="00542E19">
        <w:rPr>
          <w:rFonts w:ascii="宋体" w:hAnsi="宋体"/>
          <w:kern w:val="0"/>
          <w:szCs w:val="21"/>
        </w:rPr>
        <w:t xml:space="preserve">2016.8-2020.03, </w:t>
      </w:r>
      <w:r w:rsidRPr="00542E19">
        <w:rPr>
          <w:rFonts w:ascii="宋体" w:hAnsi="宋体" w:hint="eastAsia"/>
          <w:kern w:val="0"/>
          <w:szCs w:val="21"/>
        </w:rPr>
        <w:t>赵如冰先生任阳光资产管理股份有限公司副董事长；</w:t>
      </w:r>
      <w:r w:rsidRPr="00542E19">
        <w:rPr>
          <w:rFonts w:ascii="宋体" w:hAnsi="宋体"/>
          <w:kern w:val="0"/>
          <w:szCs w:val="21"/>
        </w:rPr>
        <w:t>2016.8-</w:t>
      </w:r>
      <w:r w:rsidRPr="00542E19">
        <w:rPr>
          <w:rFonts w:ascii="宋体" w:hAnsi="宋体" w:hint="eastAsia"/>
          <w:kern w:val="0"/>
          <w:szCs w:val="21"/>
        </w:rPr>
        <w:t>至今</w:t>
      </w:r>
      <w:r w:rsidRPr="00542E19">
        <w:rPr>
          <w:rFonts w:ascii="宋体" w:hAnsi="宋体"/>
          <w:kern w:val="0"/>
          <w:szCs w:val="21"/>
        </w:rPr>
        <w:t>,</w:t>
      </w:r>
      <w:r w:rsidRPr="00542E19">
        <w:rPr>
          <w:rFonts w:ascii="宋体" w:hAnsi="宋体" w:hint="eastAsia"/>
          <w:kern w:val="0"/>
          <w:szCs w:val="21"/>
        </w:rPr>
        <w:t>任西南证券、百隆东方独立董事，</w:t>
      </w:r>
      <w:r w:rsidRPr="00542E19">
        <w:rPr>
          <w:rFonts w:ascii="宋体" w:hAnsi="宋体"/>
          <w:kern w:val="0"/>
          <w:szCs w:val="21"/>
        </w:rPr>
        <w:t>2020.03-</w:t>
      </w:r>
      <w:r w:rsidRPr="00542E19">
        <w:rPr>
          <w:rFonts w:ascii="宋体" w:hAnsi="宋体" w:hint="eastAsia"/>
          <w:kern w:val="0"/>
          <w:szCs w:val="21"/>
        </w:rPr>
        <w:t>至今深圳市深粮控股股份有限公司独立董事。自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11</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日起，任博时基金管理有限公司独立董事。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宋子洲先生，</w:t>
      </w:r>
      <w:r w:rsidRPr="00542E19">
        <w:rPr>
          <w:rFonts w:ascii="宋体" w:hAnsi="宋体"/>
          <w:kern w:val="0"/>
          <w:szCs w:val="21"/>
        </w:rPr>
        <w:t>1960</w:t>
      </w:r>
      <w:r w:rsidRPr="00542E19">
        <w:rPr>
          <w:rFonts w:ascii="宋体" w:hAnsi="宋体" w:hint="eastAsia"/>
          <w:kern w:val="0"/>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542E19">
        <w:rPr>
          <w:rFonts w:ascii="宋体" w:hAnsi="宋体"/>
          <w:kern w:val="0"/>
          <w:szCs w:val="21"/>
        </w:rPr>
        <w:t>20</w:t>
      </w:r>
      <w:r w:rsidRPr="00542E19">
        <w:rPr>
          <w:rFonts w:ascii="宋体" w:hAnsi="宋体" w:hint="eastAsia"/>
          <w:kern w:val="0"/>
          <w:szCs w:val="21"/>
        </w:rPr>
        <w:t>余年，在保险资产管理公司的投资、运营、风险管理等方面积累了丰富的经验。自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w:t>
      </w:r>
      <w:r w:rsidRPr="00542E19">
        <w:rPr>
          <w:rFonts w:ascii="宋体" w:hAnsi="宋体"/>
          <w:kern w:val="0"/>
          <w:szCs w:val="21"/>
        </w:rPr>
        <w:t>8</w:t>
      </w:r>
      <w:r w:rsidRPr="00542E19">
        <w:rPr>
          <w:rFonts w:ascii="宋体" w:hAnsi="宋体" w:hint="eastAsia"/>
          <w:kern w:val="0"/>
          <w:szCs w:val="21"/>
        </w:rPr>
        <w:t>日起，任博时基金管理有限公司独立董事。</w:t>
      </w:r>
    </w:p>
    <w:p w:rsidR="00095DE4" w:rsidRPr="004A3137"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2、基金管理人监事会成员</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何敏女士，</w:t>
      </w:r>
      <w:r w:rsidRPr="00542E19">
        <w:rPr>
          <w:rFonts w:ascii="宋体" w:hAnsi="宋体"/>
          <w:kern w:val="0"/>
          <w:szCs w:val="21"/>
        </w:rPr>
        <w:t>1975</w:t>
      </w:r>
      <w:r w:rsidRPr="00542E19">
        <w:rPr>
          <w:rFonts w:ascii="宋体" w:hAnsi="宋体" w:hint="eastAsia"/>
          <w:kern w:val="0"/>
          <w:szCs w:val="21"/>
        </w:rPr>
        <w:t>年出生，中南财经大学会计学硕士。</w:t>
      </w:r>
      <w:r w:rsidRPr="00542E19">
        <w:rPr>
          <w:rFonts w:ascii="宋体" w:hAnsi="宋体"/>
          <w:kern w:val="0"/>
          <w:szCs w:val="21"/>
        </w:rPr>
        <w:t>1999</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2006</w:t>
      </w:r>
      <w:r w:rsidRPr="00542E19">
        <w:rPr>
          <w:rFonts w:ascii="宋体" w:hAnsi="宋体" w:hint="eastAsia"/>
          <w:kern w:val="0"/>
          <w:szCs w:val="21"/>
        </w:rPr>
        <w:t>年</w:t>
      </w:r>
      <w:r w:rsidRPr="00542E19">
        <w:rPr>
          <w:rFonts w:ascii="宋体" w:hAnsi="宋体"/>
          <w:kern w:val="0"/>
          <w:szCs w:val="21"/>
        </w:rPr>
        <w:t>4月任招商</w:t>
      </w:r>
      <w:r w:rsidRPr="00542E19">
        <w:rPr>
          <w:rFonts w:ascii="宋体" w:hAnsi="宋体" w:hint="eastAsia"/>
          <w:kern w:val="0"/>
          <w:szCs w:val="21"/>
        </w:rPr>
        <w:lastRenderedPageBreak/>
        <w:t>证券股份有限公司财务部会计核算岗，</w:t>
      </w:r>
      <w:r w:rsidRPr="00542E19">
        <w:rPr>
          <w:rFonts w:ascii="宋体" w:hAnsi="宋体"/>
          <w:kern w:val="0"/>
          <w:szCs w:val="21"/>
        </w:rPr>
        <w:t>2006</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w:t>
      </w:r>
      <w:r w:rsidRPr="00542E19">
        <w:rPr>
          <w:rFonts w:ascii="宋体" w:hAnsi="宋体"/>
          <w:kern w:val="0"/>
          <w:szCs w:val="21"/>
        </w:rPr>
        <w:t>2009</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月任招商证券股份有限公司财务部总经理助理，</w:t>
      </w:r>
      <w:r w:rsidRPr="00542E19">
        <w:rPr>
          <w:rFonts w:ascii="宋体" w:hAnsi="宋体"/>
          <w:kern w:val="0"/>
          <w:szCs w:val="21"/>
        </w:rPr>
        <w:t>2009</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w:t>
      </w:r>
      <w:r w:rsidRPr="00542E19">
        <w:rPr>
          <w:rFonts w:ascii="宋体" w:hAnsi="宋体"/>
          <w:kern w:val="0"/>
          <w:szCs w:val="21"/>
        </w:rPr>
        <w:t xml:space="preserve"> 2019</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w:t>
      </w:r>
      <w:r w:rsidRPr="00542E19">
        <w:rPr>
          <w:rFonts w:ascii="宋体" w:hAnsi="宋体"/>
          <w:kern w:val="0"/>
          <w:szCs w:val="21"/>
        </w:rPr>
        <w:t xml:space="preserve"> </w:t>
      </w:r>
      <w:r w:rsidRPr="00542E19">
        <w:rPr>
          <w:rFonts w:ascii="宋体" w:hAnsi="宋体" w:hint="eastAsia"/>
          <w:kern w:val="0"/>
          <w:szCs w:val="21"/>
        </w:rPr>
        <w:t>招商证券股份有限公司财务部副总经理，</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月至今任招商证券股份有限公司财务部总经理。自</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10</w:t>
      </w:r>
      <w:r w:rsidRPr="00542E19">
        <w:rPr>
          <w:rFonts w:ascii="宋体" w:hAnsi="宋体" w:hint="eastAsia"/>
          <w:kern w:val="0"/>
          <w:szCs w:val="21"/>
        </w:rPr>
        <w:t>日起，任博时基金管理有限公司监事会主席。</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陈良生先生，中央党校经济学硕士。</w:t>
      </w:r>
      <w:r w:rsidRPr="00542E19">
        <w:rPr>
          <w:rFonts w:ascii="宋体" w:hAnsi="宋体"/>
          <w:kern w:val="0"/>
          <w:szCs w:val="21"/>
        </w:rPr>
        <w:t>1980</w:t>
      </w:r>
      <w:r w:rsidRPr="00542E19">
        <w:rPr>
          <w:rFonts w:ascii="宋体" w:hAnsi="宋体" w:hint="eastAsia"/>
          <w:kern w:val="0"/>
          <w:szCs w:val="21"/>
        </w:rPr>
        <w:t>年至</w:t>
      </w:r>
      <w:r w:rsidRPr="00542E19">
        <w:rPr>
          <w:rFonts w:ascii="宋体" w:hAnsi="宋体"/>
          <w:kern w:val="0"/>
          <w:szCs w:val="21"/>
        </w:rPr>
        <w:t>2000</w:t>
      </w:r>
      <w:r w:rsidRPr="00542E19">
        <w:rPr>
          <w:rFonts w:ascii="宋体" w:hAnsi="宋体" w:hint="eastAsia"/>
          <w:kern w:val="0"/>
          <w:szCs w:val="21"/>
        </w:rPr>
        <w:t>年就职于中国农业银行巢湖市支行及安徽省分行。</w:t>
      </w:r>
      <w:r w:rsidRPr="00542E19">
        <w:rPr>
          <w:rFonts w:ascii="宋体" w:hAnsi="宋体"/>
          <w:kern w:val="0"/>
          <w:szCs w:val="21"/>
        </w:rPr>
        <w:t>2000</w:t>
      </w:r>
      <w:r w:rsidRPr="00542E19">
        <w:rPr>
          <w:rFonts w:ascii="宋体" w:hAnsi="宋体" w:hint="eastAsia"/>
          <w:kern w:val="0"/>
          <w:szCs w:val="21"/>
        </w:rPr>
        <w:t>年起就职于中国</w:t>
      </w:r>
      <w:r w:rsidRPr="004A3137">
        <w:rPr>
          <w:rFonts w:ascii="宋体" w:hAnsi="宋体" w:hint="eastAsia"/>
          <w:kern w:val="0"/>
          <w:szCs w:val="21"/>
        </w:rPr>
        <w:t>长城资产管理公司，历任合肥办事处综合管理部部</w:t>
      </w:r>
      <w:r w:rsidRPr="00542E19">
        <w:rPr>
          <w:rFonts w:ascii="宋体" w:hAnsi="宋体" w:hint="eastAsia"/>
          <w:kern w:val="0"/>
          <w:szCs w:val="21"/>
        </w:rPr>
        <w:t>长、福州办事处党委委员、总经理、福建省分公司党委书记、总经理。</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月至今任中国长城资产管理股份有限公司机构协同部专职董监事。自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月起，任博时基金管理有限公司监事。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赵兴利先生，硕士。</w:t>
      </w:r>
      <w:r w:rsidRPr="00542E19">
        <w:rPr>
          <w:rFonts w:ascii="宋体" w:hAnsi="宋体"/>
          <w:kern w:val="0"/>
          <w:szCs w:val="21"/>
        </w:rPr>
        <w:t>1987</w:t>
      </w:r>
      <w:r w:rsidRPr="00542E19">
        <w:rPr>
          <w:rFonts w:ascii="宋体" w:hAnsi="宋体" w:hint="eastAsia"/>
          <w:kern w:val="0"/>
          <w:szCs w:val="21"/>
        </w:rPr>
        <w:t>年至</w:t>
      </w:r>
      <w:r w:rsidRPr="00542E19">
        <w:rPr>
          <w:rFonts w:ascii="宋体" w:hAnsi="宋体"/>
          <w:kern w:val="0"/>
          <w:szCs w:val="21"/>
        </w:rPr>
        <w:t>1995</w:t>
      </w:r>
      <w:r w:rsidRPr="00542E19">
        <w:rPr>
          <w:rFonts w:ascii="宋体" w:hAnsi="宋体" w:hint="eastAsia"/>
          <w:kern w:val="0"/>
          <w:szCs w:val="21"/>
        </w:rPr>
        <w:t>年就职于天津港务局计财处。</w:t>
      </w:r>
      <w:r w:rsidRPr="00542E19">
        <w:rPr>
          <w:rFonts w:ascii="宋体" w:hAnsi="宋体"/>
          <w:kern w:val="0"/>
          <w:szCs w:val="21"/>
        </w:rPr>
        <w:t>1995</w:t>
      </w:r>
      <w:r w:rsidRPr="00542E19">
        <w:rPr>
          <w:rFonts w:ascii="宋体" w:hAnsi="宋体" w:hint="eastAsia"/>
          <w:kern w:val="0"/>
          <w:szCs w:val="21"/>
        </w:rPr>
        <w:t>年至</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月先后任天津港贸易公司财务科科长、天津港（集团）公司委派货运公司会计主管、华夏人寿保险股份有限公司财务部总经理、天津港财务有限公司常务副总经理。</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月就职于天津港（集团）有限公司金融事业部副部长，天津港（集团）有限公司计财部副部长。</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月至今任天津港（集团）有限公司专职董监事。自</w:t>
      </w:r>
      <w:r w:rsidRPr="00542E19">
        <w:rPr>
          <w:rFonts w:ascii="宋体" w:hAnsi="宋体"/>
          <w:kern w:val="0"/>
          <w:szCs w:val="21"/>
        </w:rPr>
        <w:t>2013</w:t>
      </w:r>
      <w:r w:rsidRPr="00542E19">
        <w:rPr>
          <w:rFonts w:ascii="宋体" w:hAnsi="宋体" w:hint="eastAsia"/>
          <w:kern w:val="0"/>
          <w:szCs w:val="21"/>
        </w:rPr>
        <w:t>年</w:t>
      </w:r>
      <w:r w:rsidRPr="00542E19">
        <w:rPr>
          <w:rFonts w:ascii="宋体" w:hAnsi="宋体"/>
          <w:kern w:val="0"/>
          <w:szCs w:val="21"/>
        </w:rPr>
        <w:t>3</w:t>
      </w:r>
      <w:r w:rsidRPr="00542E19">
        <w:rPr>
          <w:rFonts w:ascii="宋体" w:hAnsi="宋体" w:hint="eastAsia"/>
          <w:kern w:val="0"/>
          <w:szCs w:val="21"/>
        </w:rPr>
        <w:t>月起，任博时基金管理有限公司监事。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郑波先生，博士。</w:t>
      </w:r>
      <w:r w:rsidRPr="00542E19">
        <w:rPr>
          <w:rFonts w:ascii="宋体" w:hAnsi="宋体"/>
          <w:kern w:val="0"/>
          <w:szCs w:val="21"/>
        </w:rPr>
        <w:t>2001</w:t>
      </w:r>
      <w:r w:rsidRPr="00542E19">
        <w:rPr>
          <w:rFonts w:ascii="宋体" w:hAnsi="宋体" w:hint="eastAsia"/>
          <w:kern w:val="0"/>
          <w:szCs w:val="21"/>
        </w:rPr>
        <w:t>年起先后在中国平安保险公司总公司、博时基金管理有限公司工作。现任博时基金管理有限公司公司董事总经理兼人力资源部总经理。自</w:t>
      </w:r>
      <w:r w:rsidRPr="00542E19">
        <w:rPr>
          <w:rFonts w:ascii="宋体" w:hAnsi="宋体"/>
          <w:kern w:val="0"/>
          <w:szCs w:val="21"/>
        </w:rPr>
        <w:t>2008</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月起，任博时基金管理有限公司监事。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严斌先生，硕士。</w:t>
      </w:r>
      <w:r w:rsidRPr="00542E19">
        <w:rPr>
          <w:rFonts w:ascii="宋体" w:hAnsi="宋体"/>
          <w:kern w:val="0"/>
          <w:szCs w:val="21"/>
        </w:rPr>
        <w:t>1997</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月起先后在华侨城集团公司、博时基金管理有限公司工作。现任博时基金管理有限公司财务部总经理。自</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月起，任博时基金管理有限公司监事。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黄健斌先生，工商管理硕士。</w:t>
      </w:r>
      <w:r w:rsidRPr="00542E19">
        <w:rPr>
          <w:rFonts w:ascii="宋体" w:hAnsi="宋体"/>
          <w:kern w:val="0"/>
          <w:szCs w:val="21"/>
        </w:rPr>
        <w:t>1995</w:t>
      </w:r>
      <w:r w:rsidRPr="00542E19">
        <w:rPr>
          <w:rFonts w:ascii="宋体" w:hAnsi="宋体" w:hint="eastAsia"/>
          <w:kern w:val="0"/>
          <w:szCs w:val="21"/>
        </w:rPr>
        <w:t>年起先后在广发证券有限公司、广发基金管理有限责任公司投资管理部、中银国际基金管理有限公司基金管理部工作。</w:t>
      </w:r>
      <w:r w:rsidRPr="00542E19">
        <w:rPr>
          <w:rFonts w:ascii="宋体" w:hAnsi="宋体"/>
          <w:kern w:val="0"/>
          <w:szCs w:val="21"/>
        </w:rPr>
        <w:t>2005</w:t>
      </w:r>
      <w:r w:rsidRPr="00542E19">
        <w:rPr>
          <w:rFonts w:ascii="宋体" w:hAnsi="宋体" w:hint="eastAsia"/>
          <w:kern w:val="0"/>
          <w:szCs w:val="21"/>
        </w:rPr>
        <w:t>年加入博时基金管理公司，历任固定收益部基金经理、博时平衡配置混合型基金基金经理、固定收益部副总经理、社保组合投资经理、固定收益部总经理、固定收益总部董事总经理、年金投资部总经理。现任公司总经理助理兼社保组合投资经理、高级投资经理。自</w:t>
      </w:r>
      <w:r w:rsidRPr="00542E19">
        <w:rPr>
          <w:rFonts w:ascii="宋体" w:hAnsi="宋体"/>
          <w:kern w:val="0"/>
          <w:szCs w:val="21"/>
        </w:rPr>
        <w:t>2016</w:t>
      </w:r>
      <w:r w:rsidRPr="00542E19">
        <w:rPr>
          <w:rFonts w:ascii="宋体" w:hAnsi="宋体" w:hint="eastAsia"/>
          <w:kern w:val="0"/>
          <w:szCs w:val="21"/>
        </w:rPr>
        <w:t>年</w:t>
      </w:r>
      <w:r w:rsidRPr="00542E19">
        <w:rPr>
          <w:rFonts w:ascii="宋体" w:hAnsi="宋体"/>
          <w:kern w:val="0"/>
          <w:szCs w:val="21"/>
        </w:rPr>
        <w:t>3</w:t>
      </w:r>
      <w:r w:rsidRPr="00542E19">
        <w:rPr>
          <w:rFonts w:ascii="宋体" w:hAnsi="宋体" w:hint="eastAsia"/>
          <w:kern w:val="0"/>
          <w:szCs w:val="21"/>
        </w:rPr>
        <w:t>月</w:t>
      </w:r>
      <w:r w:rsidRPr="00542E19">
        <w:rPr>
          <w:rFonts w:ascii="宋体" w:hAnsi="宋体"/>
          <w:kern w:val="0"/>
          <w:szCs w:val="21"/>
        </w:rPr>
        <w:t>18</w:t>
      </w:r>
      <w:r w:rsidRPr="00542E19">
        <w:rPr>
          <w:rFonts w:ascii="宋体" w:hAnsi="宋体" w:hint="eastAsia"/>
          <w:kern w:val="0"/>
          <w:szCs w:val="21"/>
        </w:rPr>
        <w:t>日起，担任博时基金管理有限公司监事。</w:t>
      </w:r>
    </w:p>
    <w:p w:rsidR="00095DE4" w:rsidRPr="004A3137"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3、高级管理人员</w:t>
      </w:r>
    </w:p>
    <w:p w:rsidR="00095DE4" w:rsidRPr="00B859B2"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江向阳先生，简历同上。</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王德英先生，硕士，代总经理兼副总经理。</w:t>
      </w:r>
      <w:r w:rsidRPr="00542E19">
        <w:rPr>
          <w:rFonts w:ascii="宋体" w:hAnsi="宋体"/>
          <w:kern w:val="0"/>
          <w:szCs w:val="21"/>
        </w:rPr>
        <w:t>1995年起先后在北京清华计算机公司任开发部经理、清华紫光股份公司CAD与信息事业部任总工程师。2000年加入博时基金管理有限公司，历任行政管理部副经理，电脑部副经理、信息技术部总经理。现任公司代总经理兼副总经理、首席信息官，主管IT、运作、指数与量化投资、养老金、基金零售等工作，兼任博时基金(国际)有限公司及博时资本管理有限公司董事。</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lastRenderedPageBreak/>
        <w:t>邵凯先生，经济学硕士，副总经理。</w:t>
      </w:r>
      <w:r w:rsidRPr="00542E19">
        <w:rPr>
          <w:rFonts w:ascii="宋体" w:hAnsi="宋体"/>
          <w:kern w:val="0"/>
          <w:szCs w:val="21"/>
        </w:rPr>
        <w:t>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rsidR="00095DE4" w:rsidRPr="004A3137"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徐卫先生，硕士，副总经理。</w:t>
      </w:r>
      <w:r w:rsidRPr="00542E19">
        <w:rPr>
          <w:rFonts w:ascii="宋体" w:hAnsi="宋体"/>
          <w:kern w:val="0"/>
          <w:szCs w:val="21"/>
        </w:rPr>
        <w:t>1993年起先后在深圳市证券管理办公室、中国证监会、摩根士丹利华鑫基金工作。2015年6月加入博时基金管理有限公司，现任公司副总经理兼博时资本管理有限公司董事、</w:t>
      </w:r>
      <w:r w:rsidRPr="00542E19">
        <w:rPr>
          <w:rFonts w:ascii="宋体" w:hAnsi="宋体" w:hint="eastAsia"/>
          <w:kern w:val="0"/>
          <w:szCs w:val="21"/>
        </w:rPr>
        <w:t>博时基金</w:t>
      </w:r>
      <w:r w:rsidRPr="00542E19">
        <w:rPr>
          <w:rFonts w:ascii="宋体" w:hAnsi="宋体"/>
          <w:kern w:val="0"/>
          <w:szCs w:val="21"/>
        </w:rPr>
        <w:t>(国际)有限公司董事会主席</w:t>
      </w:r>
      <w:r w:rsidRPr="004A3137">
        <w:rPr>
          <w:rFonts w:ascii="宋体" w:hAnsi="宋体" w:hint="eastAsia"/>
          <w:kern w:val="0"/>
          <w:szCs w:val="21"/>
        </w:rPr>
        <w:t xml:space="preserve">。  </w:t>
      </w:r>
    </w:p>
    <w:p w:rsidR="00095DE4" w:rsidRPr="00542E19"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孙麒清女士，商法学硕士，督察长。曾供职于广东深港律师事务所。</w:t>
      </w:r>
      <w:r w:rsidRPr="00B859B2">
        <w:rPr>
          <w:rFonts w:ascii="宋体" w:hAnsi="宋体"/>
          <w:kern w:val="0"/>
          <w:szCs w:val="21"/>
        </w:rPr>
        <w:t>2002年加入博时基金管理有限公司，历任监察法律部法律顾问、监察法律部总经理。现任公司督察长，兼任博时基金（国际）有限公司董事、博时资本管理有限公司副董事长。</w:t>
      </w:r>
    </w:p>
    <w:p w:rsidR="00095DE4" w:rsidRDefault="00095DE4" w:rsidP="00095DE4">
      <w:pPr>
        <w:spacing w:line="360" w:lineRule="auto"/>
        <w:ind w:firstLineChars="200" w:firstLine="420"/>
        <w:rPr>
          <w:rFonts w:ascii="宋体" w:hAnsi="宋体"/>
          <w:kern w:val="0"/>
          <w:szCs w:val="21"/>
        </w:rPr>
      </w:pPr>
      <w:r w:rsidRPr="00542E19">
        <w:rPr>
          <w:rFonts w:ascii="宋体" w:hAnsi="宋体"/>
          <w:kern w:val="0"/>
          <w:szCs w:val="21"/>
        </w:rPr>
        <w:t>4、本基金基金经理</w:t>
      </w:r>
    </w:p>
    <w:p w:rsidR="00095DE4" w:rsidRDefault="00095DE4" w:rsidP="00095DE4">
      <w:pPr>
        <w:spacing w:line="360" w:lineRule="auto"/>
        <w:ind w:firstLine="422"/>
        <w:rPr>
          <w:kern w:val="0"/>
          <w:szCs w:val="21"/>
        </w:rPr>
      </w:pPr>
      <w:r>
        <w:rPr>
          <w:rFonts w:hint="eastAsia"/>
          <w:kern w:val="0"/>
          <w:szCs w:val="21"/>
        </w:rPr>
        <w:t>曾鹏先生，硕士。</w:t>
      </w:r>
      <w:r>
        <w:rPr>
          <w:rFonts w:hint="eastAsia"/>
          <w:kern w:val="0"/>
          <w:szCs w:val="21"/>
        </w:rPr>
        <w:t>2005</w:t>
      </w:r>
      <w:r>
        <w:rPr>
          <w:rFonts w:hint="eastAsia"/>
          <w:kern w:val="0"/>
          <w:szCs w:val="21"/>
        </w:rPr>
        <w:t>年起先后在上投摩根基金、嘉实基金从事研究、投资工作。</w:t>
      </w:r>
      <w:r>
        <w:rPr>
          <w:rFonts w:hint="eastAsia"/>
          <w:kern w:val="0"/>
          <w:szCs w:val="21"/>
        </w:rPr>
        <w:t>2012</w:t>
      </w:r>
      <w:r>
        <w:rPr>
          <w:rFonts w:hint="eastAsia"/>
          <w:kern w:val="0"/>
          <w:szCs w:val="21"/>
        </w:rPr>
        <w:t>年加入博时基金管理有限公司。历任投资经理、博时灵活配置混合型证券投资基金</w:t>
      </w:r>
      <w:r>
        <w:rPr>
          <w:rFonts w:hint="eastAsia"/>
          <w:kern w:val="0"/>
          <w:szCs w:val="21"/>
        </w:rPr>
        <w:t>(2015</w:t>
      </w:r>
      <w:r>
        <w:rPr>
          <w:rFonts w:hint="eastAsia"/>
          <w:kern w:val="0"/>
          <w:szCs w:val="21"/>
        </w:rPr>
        <w:t>年</w:t>
      </w:r>
      <w:r>
        <w:rPr>
          <w:rFonts w:hint="eastAsia"/>
          <w:kern w:val="0"/>
          <w:szCs w:val="21"/>
        </w:rPr>
        <w:t>2</w:t>
      </w:r>
      <w:r>
        <w:rPr>
          <w:rFonts w:hint="eastAsia"/>
          <w:kern w:val="0"/>
          <w:szCs w:val="21"/>
        </w:rPr>
        <w:t>月</w:t>
      </w:r>
      <w:r>
        <w:rPr>
          <w:rFonts w:hint="eastAsia"/>
          <w:kern w:val="0"/>
          <w:szCs w:val="21"/>
        </w:rPr>
        <w:t>9</w:t>
      </w:r>
      <w:r>
        <w:rPr>
          <w:rFonts w:hint="eastAsia"/>
          <w:kern w:val="0"/>
          <w:szCs w:val="21"/>
        </w:rPr>
        <w:t>日</w:t>
      </w:r>
      <w:r>
        <w:rPr>
          <w:rFonts w:hint="eastAsia"/>
          <w:kern w:val="0"/>
          <w:szCs w:val="21"/>
        </w:rPr>
        <w:t>-2016</w:t>
      </w:r>
      <w:r>
        <w:rPr>
          <w:rFonts w:hint="eastAsia"/>
          <w:kern w:val="0"/>
          <w:szCs w:val="21"/>
        </w:rPr>
        <w:t>年</w:t>
      </w:r>
      <w:r>
        <w:rPr>
          <w:rFonts w:hint="eastAsia"/>
          <w:kern w:val="0"/>
          <w:szCs w:val="21"/>
        </w:rPr>
        <w:t>4</w:t>
      </w:r>
      <w:r>
        <w:rPr>
          <w:rFonts w:hint="eastAsia"/>
          <w:kern w:val="0"/>
          <w:szCs w:val="21"/>
        </w:rPr>
        <w:t>月</w:t>
      </w:r>
      <w:r>
        <w:rPr>
          <w:rFonts w:hint="eastAsia"/>
          <w:kern w:val="0"/>
          <w:szCs w:val="21"/>
        </w:rPr>
        <w:t>25</w:t>
      </w:r>
      <w:r>
        <w:rPr>
          <w:rFonts w:hint="eastAsia"/>
          <w:kern w:val="0"/>
          <w:szCs w:val="21"/>
        </w:rPr>
        <w:t>日</w:t>
      </w:r>
      <w:r>
        <w:rPr>
          <w:rFonts w:hint="eastAsia"/>
          <w:kern w:val="0"/>
          <w:szCs w:val="21"/>
        </w:rPr>
        <w:t>)</w:t>
      </w:r>
      <w:r>
        <w:rPr>
          <w:rFonts w:hint="eastAsia"/>
          <w:kern w:val="0"/>
          <w:szCs w:val="21"/>
        </w:rPr>
        <w:t>基金经理。现任权益投资总部一体化投研总监兼权益投资主题组负责人、博时新兴成长混合型证券投资基金</w:t>
      </w:r>
      <w:r>
        <w:rPr>
          <w:rFonts w:hint="eastAsia"/>
          <w:kern w:val="0"/>
          <w:szCs w:val="21"/>
        </w:rPr>
        <w:t>(2013</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18</w:t>
      </w:r>
      <w:r>
        <w:rPr>
          <w:rFonts w:hint="eastAsia"/>
          <w:kern w:val="0"/>
          <w:szCs w:val="21"/>
        </w:rPr>
        <w:t>日—至今</w:t>
      </w:r>
      <w:r>
        <w:rPr>
          <w:rFonts w:hint="eastAsia"/>
          <w:kern w:val="0"/>
          <w:szCs w:val="21"/>
        </w:rPr>
        <w:t>)</w:t>
      </w:r>
      <w:r>
        <w:rPr>
          <w:rFonts w:hint="eastAsia"/>
          <w:kern w:val="0"/>
          <w:szCs w:val="21"/>
        </w:rPr>
        <w:t>、博时特许价值混合型证券投资基金</w:t>
      </w:r>
      <w:r>
        <w:rPr>
          <w:rFonts w:hint="eastAsia"/>
          <w:kern w:val="0"/>
          <w:szCs w:val="21"/>
        </w:rPr>
        <w:t>(2018</w:t>
      </w:r>
      <w:r>
        <w:rPr>
          <w:rFonts w:hint="eastAsia"/>
          <w:kern w:val="0"/>
          <w:szCs w:val="21"/>
        </w:rPr>
        <w:t>年</w:t>
      </w:r>
      <w:r>
        <w:rPr>
          <w:rFonts w:hint="eastAsia"/>
          <w:kern w:val="0"/>
          <w:szCs w:val="21"/>
        </w:rPr>
        <w:t>6</w:t>
      </w:r>
      <w:r>
        <w:rPr>
          <w:rFonts w:hint="eastAsia"/>
          <w:kern w:val="0"/>
          <w:szCs w:val="21"/>
        </w:rPr>
        <w:t>月</w:t>
      </w:r>
      <w:r>
        <w:rPr>
          <w:rFonts w:hint="eastAsia"/>
          <w:kern w:val="0"/>
          <w:szCs w:val="21"/>
        </w:rPr>
        <w:t>21</w:t>
      </w:r>
      <w:r>
        <w:rPr>
          <w:rFonts w:hint="eastAsia"/>
          <w:kern w:val="0"/>
          <w:szCs w:val="21"/>
        </w:rPr>
        <w:t>日—至今</w:t>
      </w:r>
      <w:r>
        <w:rPr>
          <w:rFonts w:hint="eastAsia"/>
          <w:kern w:val="0"/>
          <w:szCs w:val="21"/>
        </w:rPr>
        <w:t>)</w:t>
      </w:r>
      <w:r>
        <w:rPr>
          <w:rFonts w:hint="eastAsia"/>
          <w:kern w:val="0"/>
          <w:szCs w:val="21"/>
        </w:rPr>
        <w:t>、博时科创主题</w:t>
      </w:r>
      <w:r>
        <w:rPr>
          <w:rFonts w:hint="eastAsia"/>
          <w:kern w:val="0"/>
          <w:szCs w:val="21"/>
        </w:rPr>
        <w:t>3</w:t>
      </w:r>
      <w:r>
        <w:rPr>
          <w:rFonts w:hint="eastAsia"/>
          <w:kern w:val="0"/>
          <w:szCs w:val="21"/>
        </w:rPr>
        <w:t>年封闭运作灵活配置混合型证券投资基金</w:t>
      </w:r>
      <w:r>
        <w:rPr>
          <w:rFonts w:hint="eastAsia"/>
          <w:kern w:val="0"/>
          <w:szCs w:val="21"/>
        </w:rPr>
        <w:t>(2019</w:t>
      </w:r>
      <w:r>
        <w:rPr>
          <w:rFonts w:hint="eastAsia"/>
          <w:kern w:val="0"/>
          <w:szCs w:val="21"/>
        </w:rPr>
        <w:t>年</w:t>
      </w:r>
      <w:r>
        <w:rPr>
          <w:rFonts w:hint="eastAsia"/>
          <w:kern w:val="0"/>
          <w:szCs w:val="21"/>
        </w:rPr>
        <w:t>6</w:t>
      </w:r>
      <w:r>
        <w:rPr>
          <w:rFonts w:hint="eastAsia"/>
          <w:kern w:val="0"/>
          <w:szCs w:val="21"/>
        </w:rPr>
        <w:t>月</w:t>
      </w:r>
      <w:r>
        <w:rPr>
          <w:rFonts w:hint="eastAsia"/>
          <w:kern w:val="0"/>
          <w:szCs w:val="21"/>
        </w:rPr>
        <w:t>27</w:t>
      </w:r>
      <w:r>
        <w:rPr>
          <w:rFonts w:hint="eastAsia"/>
          <w:kern w:val="0"/>
          <w:szCs w:val="21"/>
        </w:rPr>
        <w:t>日—至今</w:t>
      </w:r>
      <w:r>
        <w:rPr>
          <w:rFonts w:hint="eastAsia"/>
          <w:kern w:val="0"/>
          <w:szCs w:val="21"/>
        </w:rPr>
        <w:t>)</w:t>
      </w:r>
      <w:r>
        <w:rPr>
          <w:rFonts w:hint="eastAsia"/>
          <w:kern w:val="0"/>
          <w:szCs w:val="21"/>
        </w:rPr>
        <w:t>、博时科技创新混合型证券投资基金</w:t>
      </w:r>
      <w:r>
        <w:rPr>
          <w:rFonts w:hint="eastAsia"/>
          <w:kern w:val="0"/>
          <w:szCs w:val="21"/>
        </w:rPr>
        <w:t>(2020</w:t>
      </w:r>
      <w:r>
        <w:rPr>
          <w:rFonts w:hint="eastAsia"/>
          <w:kern w:val="0"/>
          <w:szCs w:val="21"/>
        </w:rPr>
        <w:t>年</w:t>
      </w:r>
      <w:r>
        <w:rPr>
          <w:rFonts w:hint="eastAsia"/>
          <w:kern w:val="0"/>
          <w:szCs w:val="21"/>
        </w:rPr>
        <w:t>4</w:t>
      </w:r>
      <w:r>
        <w:rPr>
          <w:rFonts w:hint="eastAsia"/>
          <w:kern w:val="0"/>
          <w:szCs w:val="21"/>
        </w:rPr>
        <w:t>月</w:t>
      </w:r>
      <w:r>
        <w:rPr>
          <w:rFonts w:hint="eastAsia"/>
          <w:kern w:val="0"/>
          <w:szCs w:val="21"/>
        </w:rPr>
        <w:t>15</w:t>
      </w:r>
      <w:r>
        <w:rPr>
          <w:rFonts w:hint="eastAsia"/>
          <w:kern w:val="0"/>
          <w:szCs w:val="21"/>
        </w:rPr>
        <w:t>日—至今</w:t>
      </w:r>
      <w:r>
        <w:rPr>
          <w:rFonts w:hint="eastAsia"/>
          <w:kern w:val="0"/>
          <w:szCs w:val="21"/>
        </w:rPr>
        <w:t>)</w:t>
      </w:r>
      <w:r>
        <w:rPr>
          <w:rFonts w:hint="eastAsia"/>
          <w:kern w:val="0"/>
          <w:szCs w:val="21"/>
        </w:rPr>
        <w:t>的基金经理。</w:t>
      </w:r>
    </w:p>
    <w:p w:rsidR="00095DE4" w:rsidRDefault="00095DE4" w:rsidP="00095DE4">
      <w:pPr>
        <w:spacing w:line="360" w:lineRule="auto"/>
        <w:ind w:firstLine="422"/>
        <w:rPr>
          <w:kern w:val="0"/>
          <w:szCs w:val="21"/>
        </w:rPr>
      </w:pPr>
      <w:r>
        <w:rPr>
          <w:rFonts w:hint="eastAsia"/>
          <w:kern w:val="0"/>
          <w:szCs w:val="21"/>
        </w:rPr>
        <w:t>牟星海先生，硕士。</w:t>
      </w:r>
      <w:r>
        <w:rPr>
          <w:rFonts w:hint="eastAsia"/>
          <w:kern w:val="0"/>
          <w:szCs w:val="21"/>
        </w:rPr>
        <w:t>1993</w:t>
      </w:r>
      <w:r>
        <w:rPr>
          <w:rFonts w:hint="eastAsia"/>
          <w:kern w:val="0"/>
          <w:szCs w:val="21"/>
        </w:rPr>
        <w:t>年起先后在美国保诚金融控股公司、美银证券、美国雷曼兄弟控股公司、光大控股公司、布鲁克投资公司、先锋投资合伙公司、申万宏源（香港）公司、新韩法国巴黎资产管理公司、申万宏源（香港）公司从事研究、投资、管理等工作。</w:t>
      </w:r>
      <w:r>
        <w:rPr>
          <w:rFonts w:hint="eastAsia"/>
          <w:kern w:val="0"/>
          <w:szCs w:val="21"/>
        </w:rPr>
        <w:t>2019</w:t>
      </w:r>
      <w:r>
        <w:rPr>
          <w:rFonts w:hint="eastAsia"/>
          <w:kern w:val="0"/>
          <w:szCs w:val="21"/>
        </w:rPr>
        <w:t>年加入博时基金管理有限公司。现任权益投资国际组负责人兼博时沪港深成长企业混合型证券投资基金</w:t>
      </w:r>
      <w:r>
        <w:rPr>
          <w:rFonts w:hint="eastAsia"/>
          <w:kern w:val="0"/>
          <w:szCs w:val="21"/>
        </w:rPr>
        <w:t>(2019</w:t>
      </w:r>
      <w:r>
        <w:rPr>
          <w:rFonts w:hint="eastAsia"/>
          <w:kern w:val="0"/>
          <w:szCs w:val="21"/>
        </w:rPr>
        <w:t>年</w:t>
      </w:r>
      <w:r>
        <w:rPr>
          <w:rFonts w:hint="eastAsia"/>
          <w:kern w:val="0"/>
          <w:szCs w:val="21"/>
        </w:rPr>
        <w:t>6</w:t>
      </w:r>
      <w:r>
        <w:rPr>
          <w:rFonts w:hint="eastAsia"/>
          <w:kern w:val="0"/>
          <w:szCs w:val="21"/>
        </w:rPr>
        <w:t>月</w:t>
      </w:r>
      <w:r>
        <w:rPr>
          <w:rFonts w:hint="eastAsia"/>
          <w:kern w:val="0"/>
          <w:szCs w:val="21"/>
        </w:rPr>
        <w:t>10</w:t>
      </w:r>
      <w:r>
        <w:rPr>
          <w:rFonts w:hint="eastAsia"/>
          <w:kern w:val="0"/>
          <w:szCs w:val="21"/>
        </w:rPr>
        <w:t>日—至今</w:t>
      </w:r>
      <w:r>
        <w:rPr>
          <w:rFonts w:hint="eastAsia"/>
          <w:kern w:val="0"/>
          <w:szCs w:val="21"/>
        </w:rPr>
        <w:t>)</w:t>
      </w:r>
      <w:r>
        <w:rPr>
          <w:rFonts w:hint="eastAsia"/>
          <w:kern w:val="0"/>
          <w:szCs w:val="21"/>
        </w:rPr>
        <w:t>、博时大中华亚太精选股票证券投资基金</w:t>
      </w:r>
      <w:r>
        <w:rPr>
          <w:rFonts w:hint="eastAsia"/>
          <w:kern w:val="0"/>
          <w:szCs w:val="21"/>
        </w:rPr>
        <w:t>(2020</w:t>
      </w:r>
      <w:r>
        <w:rPr>
          <w:rFonts w:hint="eastAsia"/>
          <w:kern w:val="0"/>
          <w:szCs w:val="21"/>
        </w:rPr>
        <w:t>年</w:t>
      </w:r>
      <w:r>
        <w:rPr>
          <w:rFonts w:hint="eastAsia"/>
          <w:kern w:val="0"/>
          <w:szCs w:val="21"/>
        </w:rPr>
        <w:t>5</w:t>
      </w:r>
      <w:r>
        <w:rPr>
          <w:rFonts w:hint="eastAsia"/>
          <w:kern w:val="0"/>
          <w:szCs w:val="21"/>
        </w:rPr>
        <w:t>月</w:t>
      </w:r>
      <w:r>
        <w:rPr>
          <w:rFonts w:hint="eastAsia"/>
          <w:kern w:val="0"/>
          <w:szCs w:val="21"/>
        </w:rPr>
        <w:t>21</w:t>
      </w:r>
      <w:r>
        <w:rPr>
          <w:rFonts w:hint="eastAsia"/>
          <w:kern w:val="0"/>
          <w:szCs w:val="21"/>
        </w:rPr>
        <w:t>日—至今</w:t>
      </w:r>
      <w:r>
        <w:rPr>
          <w:rFonts w:hint="eastAsia"/>
          <w:kern w:val="0"/>
          <w:szCs w:val="21"/>
        </w:rPr>
        <w:t>)</w:t>
      </w:r>
      <w:r>
        <w:rPr>
          <w:rFonts w:hint="eastAsia"/>
          <w:kern w:val="0"/>
          <w:szCs w:val="21"/>
        </w:rPr>
        <w:t>的基金经理。</w:t>
      </w:r>
    </w:p>
    <w:p w:rsidR="00095DE4" w:rsidRPr="004A3137" w:rsidRDefault="00095DE4" w:rsidP="00095DE4">
      <w:pPr>
        <w:spacing w:line="360" w:lineRule="auto"/>
        <w:ind w:firstLineChars="200" w:firstLine="420"/>
        <w:rPr>
          <w:rFonts w:ascii="宋体" w:hAnsi="宋体"/>
          <w:kern w:val="0"/>
          <w:szCs w:val="21"/>
        </w:rPr>
      </w:pPr>
      <w:r w:rsidRPr="004A3137">
        <w:rPr>
          <w:rFonts w:ascii="宋体" w:hAnsi="宋体" w:hint="eastAsia"/>
          <w:kern w:val="0"/>
          <w:szCs w:val="21"/>
        </w:rPr>
        <w:t>5、投资决策委员会成员</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委员：江向阳、邵凯、黄健斌、张龙、魏凤春、王俊、过钧、黄瑞庆、曾鹏</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江向阳先生，简历同上。</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邵凯先生，简历同上。</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黄健斌先生，简历同上。</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张龙先生，硕士。</w:t>
      </w:r>
      <w:r w:rsidRPr="00542E19">
        <w:rPr>
          <w:rFonts w:ascii="宋体" w:hAnsi="宋体"/>
          <w:kern w:val="0"/>
          <w:szCs w:val="21"/>
        </w:rPr>
        <w:t>1996年起先后在长江证券、长盛基金、华夏基金、北京金百朋投资管理有限公司工作。2019年加入博时基金管理有限公司，现任公司投资决策委员会专职委</w:t>
      </w:r>
      <w:r w:rsidRPr="00542E19">
        <w:rPr>
          <w:rFonts w:ascii="宋体" w:hAnsi="宋体" w:hint="eastAsia"/>
          <w:kern w:val="0"/>
          <w:szCs w:val="21"/>
        </w:rPr>
        <w:t>员兼股票投资部总经理。</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魏凤春先生，博士。</w:t>
      </w:r>
      <w:r w:rsidRPr="00542E19">
        <w:rPr>
          <w:rFonts w:ascii="宋体" w:hAnsi="宋体"/>
          <w:kern w:val="0"/>
          <w:szCs w:val="21"/>
        </w:rPr>
        <w:t>1993年起先后在山东经济学院、江南信托、清华大学、江南证券、</w:t>
      </w:r>
      <w:r w:rsidRPr="00542E19">
        <w:rPr>
          <w:rFonts w:ascii="宋体" w:hAnsi="宋体"/>
          <w:kern w:val="0"/>
          <w:szCs w:val="21"/>
        </w:rPr>
        <w:lastRenderedPageBreak/>
        <w:t>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王俊先生，硕士。</w:t>
      </w:r>
      <w:r w:rsidRPr="00542E19">
        <w:rPr>
          <w:rFonts w:ascii="宋体" w:hAnsi="宋体"/>
          <w:kern w:val="0"/>
          <w:szCs w:val="21"/>
        </w:rPr>
        <w:t>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博时沪港深成长企业混合基金（2016.11.9-2019.6.10）的基金经理、研究部总经理。现任研究部研究总监兼博时主题行业混合(LOF)基金（2015.1.22-至今）、博时沪港深优质企业混合基金（2016.11.9-至今）、博时新兴消费主题混合基金（2017.6.5-至今）、博时优势企业混合基金（2019.6.3-至今）、博时研究优选混合基金（2020.3.20-至今）、博时研究精选持有期混合基金(2020.6.24-至今)、博时研究臻选持有期混合基金(2020.6.30-至今)、博时价值臻选持有期混合基金（2020.7.29-至今）的基金经理。</w:t>
      </w:r>
    </w:p>
    <w:p w:rsidR="00095DE4" w:rsidRPr="00542E19" w:rsidRDefault="00095DE4" w:rsidP="00095DE4">
      <w:pPr>
        <w:spacing w:line="360" w:lineRule="auto"/>
        <w:ind w:firstLineChars="200" w:firstLine="420"/>
        <w:rPr>
          <w:rFonts w:ascii="宋体" w:hAnsi="宋体"/>
          <w:kern w:val="0"/>
          <w:szCs w:val="21"/>
        </w:rPr>
      </w:pPr>
      <w:bookmarkStart w:id="21" w:name="OLE_LINK2"/>
      <w:r w:rsidRPr="00542E19">
        <w:rPr>
          <w:rFonts w:ascii="宋体" w:hAnsi="宋体" w:hint="eastAsia"/>
          <w:kern w:val="0"/>
          <w:szCs w:val="21"/>
        </w:rPr>
        <w:t>过钧先生，硕士。</w:t>
      </w:r>
      <w:r w:rsidRPr="00542E19">
        <w:rPr>
          <w:rFonts w:ascii="宋体" w:hAnsi="宋体"/>
          <w:kern w:val="0"/>
          <w:szCs w:val="21"/>
        </w:rPr>
        <w:t>1995</w:t>
      </w:r>
      <w:bookmarkEnd w:id="21"/>
      <w:r w:rsidRPr="00542E19">
        <w:rPr>
          <w:rFonts w:ascii="宋体" w:hAnsi="宋体" w:hint="eastAsia"/>
          <w:kern w:val="0"/>
          <w:szCs w:val="21"/>
        </w:rPr>
        <w:t>年起先后在上海工艺品进出口公司、德国德累斯顿银行上海分行、美国</w:t>
      </w:r>
      <w:r w:rsidRPr="00542E19">
        <w:rPr>
          <w:rFonts w:ascii="宋体" w:hAnsi="宋体"/>
          <w:kern w:val="0"/>
          <w:szCs w:val="21"/>
        </w:rPr>
        <w:t>Lowes</w:t>
      </w:r>
      <w:r w:rsidRPr="00542E19">
        <w:rPr>
          <w:rFonts w:ascii="宋体" w:hAnsi="宋体" w:hint="eastAsia"/>
          <w:kern w:val="0"/>
          <w:szCs w:val="21"/>
        </w:rPr>
        <w:t>食品有限公司、美国通用电气公司、华夏基金固定收益部工作。</w:t>
      </w:r>
      <w:r w:rsidRPr="00542E19">
        <w:rPr>
          <w:rFonts w:ascii="宋体" w:hAnsi="宋体"/>
          <w:kern w:val="0"/>
          <w:szCs w:val="21"/>
        </w:rPr>
        <w:t>2005</w:t>
      </w:r>
      <w:r w:rsidRPr="00542E19">
        <w:rPr>
          <w:rFonts w:ascii="宋体" w:hAnsi="宋体" w:hint="eastAsia"/>
          <w:kern w:val="0"/>
          <w:szCs w:val="21"/>
        </w:rPr>
        <w:t>年加入博时基金管理有限公司，历任基金经理、博时稳定价值债券投资基金（</w:t>
      </w:r>
      <w:r w:rsidRPr="00542E19">
        <w:rPr>
          <w:rFonts w:ascii="宋体" w:hAnsi="宋体"/>
          <w:kern w:val="0"/>
          <w:szCs w:val="21"/>
        </w:rPr>
        <w:t>2005.8.24-2010.8.4</w:t>
      </w:r>
      <w:r w:rsidRPr="00542E19">
        <w:rPr>
          <w:rFonts w:ascii="宋体" w:hAnsi="宋体" w:hint="eastAsia"/>
          <w:kern w:val="0"/>
          <w:szCs w:val="21"/>
        </w:rPr>
        <w:t>）的基金经理、固定收益部副总经理、博时转债增强债券型证券投资基金（</w:t>
      </w:r>
      <w:r w:rsidRPr="00542E19">
        <w:rPr>
          <w:rFonts w:ascii="宋体" w:hAnsi="宋体"/>
          <w:kern w:val="0"/>
          <w:szCs w:val="21"/>
        </w:rPr>
        <w:t>2010.11.24-2013.9.25</w:t>
      </w:r>
      <w:r w:rsidRPr="00542E19">
        <w:rPr>
          <w:rFonts w:ascii="宋体" w:hAnsi="宋体" w:hint="eastAsia"/>
          <w:kern w:val="0"/>
          <w:szCs w:val="21"/>
        </w:rPr>
        <w:t>）、博时亚洲票息收益债券型证券投资基金（</w:t>
      </w:r>
      <w:r w:rsidRPr="00542E19">
        <w:rPr>
          <w:rFonts w:ascii="宋体" w:hAnsi="宋体"/>
          <w:kern w:val="0"/>
          <w:szCs w:val="21"/>
        </w:rPr>
        <w:t>2013.2.1-2014.4.2</w:t>
      </w:r>
      <w:r w:rsidRPr="00542E19">
        <w:rPr>
          <w:rFonts w:ascii="宋体" w:hAnsi="宋体" w:hint="eastAsia"/>
          <w:kern w:val="0"/>
          <w:szCs w:val="21"/>
        </w:rPr>
        <w:t>）、博时裕祥分级债券型证券投资基金（</w:t>
      </w:r>
      <w:r w:rsidRPr="00542E19">
        <w:rPr>
          <w:rFonts w:ascii="宋体" w:hAnsi="宋体"/>
          <w:kern w:val="0"/>
          <w:szCs w:val="21"/>
        </w:rPr>
        <w:t>2014.1.8-2014.6.10</w:t>
      </w:r>
      <w:r w:rsidRPr="00542E19">
        <w:rPr>
          <w:rFonts w:ascii="宋体" w:hAnsi="宋体" w:hint="eastAsia"/>
          <w:kern w:val="0"/>
          <w:szCs w:val="21"/>
        </w:rPr>
        <w:t>）、博时双债增强债券型证券投资基金（</w:t>
      </w:r>
      <w:r w:rsidRPr="00542E19">
        <w:rPr>
          <w:rFonts w:ascii="宋体" w:hAnsi="宋体"/>
          <w:kern w:val="0"/>
          <w:szCs w:val="21"/>
        </w:rPr>
        <w:t>2013.9.13-2015.7.16</w:t>
      </w:r>
      <w:r w:rsidRPr="00542E19">
        <w:rPr>
          <w:rFonts w:ascii="宋体" w:hAnsi="宋体" w:hint="eastAsia"/>
          <w:kern w:val="0"/>
          <w:szCs w:val="21"/>
        </w:rPr>
        <w:t>）、博时新财富混合型证券投资基金（</w:t>
      </w:r>
      <w:r w:rsidRPr="00542E19">
        <w:rPr>
          <w:rFonts w:ascii="宋体" w:hAnsi="宋体"/>
          <w:kern w:val="0"/>
          <w:szCs w:val="21"/>
        </w:rPr>
        <w:t>2015.6.24-2016.7.4</w:t>
      </w:r>
      <w:r w:rsidRPr="00542E19">
        <w:rPr>
          <w:rFonts w:ascii="宋体" w:hAnsi="宋体" w:hint="eastAsia"/>
          <w:kern w:val="0"/>
          <w:szCs w:val="21"/>
        </w:rPr>
        <w:t>）、博时新机遇混合型证券投资基金（</w:t>
      </w:r>
      <w:r w:rsidRPr="00542E19">
        <w:rPr>
          <w:rFonts w:ascii="宋体" w:hAnsi="宋体"/>
          <w:kern w:val="0"/>
          <w:szCs w:val="21"/>
        </w:rPr>
        <w:t>2016.3.29-2018.2.6</w:t>
      </w:r>
      <w:r w:rsidRPr="00542E19">
        <w:rPr>
          <w:rFonts w:ascii="宋体" w:hAnsi="宋体" w:hint="eastAsia"/>
          <w:kern w:val="0"/>
          <w:szCs w:val="21"/>
        </w:rPr>
        <w:t>）、博时新策略灵活配置混合型证券投资基金（</w:t>
      </w:r>
      <w:r w:rsidRPr="00542E19">
        <w:rPr>
          <w:rFonts w:ascii="宋体" w:hAnsi="宋体"/>
          <w:kern w:val="0"/>
          <w:szCs w:val="21"/>
        </w:rPr>
        <w:t>2016.8.1-2018.2.6</w:t>
      </w:r>
      <w:r w:rsidRPr="00542E19">
        <w:rPr>
          <w:rFonts w:ascii="宋体" w:hAnsi="宋体" w:hint="eastAsia"/>
          <w:kern w:val="0"/>
          <w:szCs w:val="21"/>
        </w:rPr>
        <w:t>）、博时稳健回报债券型证券投资基金（</w:t>
      </w:r>
      <w:r w:rsidRPr="00542E19">
        <w:rPr>
          <w:rFonts w:ascii="宋体" w:hAnsi="宋体"/>
          <w:kern w:val="0"/>
          <w:szCs w:val="21"/>
        </w:rPr>
        <w:t>LOF</w:t>
      </w:r>
      <w:r w:rsidRPr="00542E19">
        <w:rPr>
          <w:rFonts w:ascii="宋体" w:hAnsi="宋体" w:hint="eastAsia"/>
          <w:kern w:val="0"/>
          <w:szCs w:val="21"/>
        </w:rPr>
        <w:t>）（</w:t>
      </w:r>
      <w:r w:rsidRPr="00542E19">
        <w:rPr>
          <w:rFonts w:ascii="宋体" w:hAnsi="宋体"/>
          <w:kern w:val="0"/>
          <w:szCs w:val="21"/>
        </w:rPr>
        <w:t>2014.6.10-2018.4.23</w:t>
      </w:r>
      <w:r w:rsidRPr="00542E19">
        <w:rPr>
          <w:rFonts w:ascii="宋体" w:hAnsi="宋体" w:hint="eastAsia"/>
          <w:kern w:val="0"/>
          <w:szCs w:val="21"/>
        </w:rPr>
        <w:t>）、博时双债增强债券型证券投资基金（</w:t>
      </w:r>
      <w:r w:rsidRPr="00542E19">
        <w:rPr>
          <w:rFonts w:ascii="宋体" w:hAnsi="宋体"/>
          <w:kern w:val="0"/>
          <w:szCs w:val="21"/>
        </w:rPr>
        <w:t>2016.10.24-2018.5.5</w:t>
      </w:r>
      <w:r w:rsidRPr="00542E19">
        <w:rPr>
          <w:rFonts w:ascii="宋体" w:hAnsi="宋体" w:hint="eastAsia"/>
          <w:kern w:val="0"/>
          <w:szCs w:val="21"/>
        </w:rPr>
        <w:t>）、博时鑫润灵活配置混合型证券投资基金（</w:t>
      </w:r>
      <w:r w:rsidRPr="00542E19">
        <w:rPr>
          <w:rFonts w:ascii="宋体" w:hAnsi="宋体"/>
          <w:kern w:val="0"/>
          <w:szCs w:val="21"/>
        </w:rPr>
        <w:t>2017.2.10-2018.5.21</w:t>
      </w:r>
      <w:r w:rsidRPr="00542E19">
        <w:rPr>
          <w:rFonts w:ascii="宋体" w:hAnsi="宋体" w:hint="eastAsia"/>
          <w:kern w:val="0"/>
          <w:szCs w:val="21"/>
        </w:rPr>
        <w:t>）、博时鑫和灵活配置混合型证券投资基金（</w:t>
      </w:r>
      <w:r w:rsidRPr="00542E19">
        <w:rPr>
          <w:rFonts w:ascii="宋体" w:hAnsi="宋体"/>
          <w:kern w:val="0"/>
          <w:szCs w:val="21"/>
        </w:rPr>
        <w:t>2017.12.13-2018.6.16</w:t>
      </w:r>
      <w:r w:rsidRPr="00542E19">
        <w:rPr>
          <w:rFonts w:ascii="宋体" w:hAnsi="宋体" w:hint="eastAsia"/>
          <w:kern w:val="0"/>
          <w:szCs w:val="21"/>
        </w:rPr>
        <w:t>）、博时鑫惠灵活配置混合型证券投资基金（</w:t>
      </w:r>
      <w:r w:rsidRPr="00542E19">
        <w:rPr>
          <w:rFonts w:ascii="宋体" w:hAnsi="宋体"/>
          <w:kern w:val="0"/>
          <w:szCs w:val="21"/>
        </w:rPr>
        <w:t>2017.1.10-2018.7.30</w:t>
      </w:r>
      <w:r w:rsidRPr="00542E19">
        <w:rPr>
          <w:rFonts w:ascii="宋体" w:hAnsi="宋体" w:hint="eastAsia"/>
          <w:kern w:val="0"/>
          <w:szCs w:val="21"/>
        </w:rPr>
        <w:t>）的基金经理、固定收益总部公募基金组负责人、博时新价值灵活配置混合型证券投资基金（</w:t>
      </w:r>
      <w:r w:rsidRPr="00542E19">
        <w:rPr>
          <w:rFonts w:ascii="宋体" w:hAnsi="宋体"/>
          <w:kern w:val="0"/>
          <w:szCs w:val="21"/>
        </w:rPr>
        <w:t>2016.3.29-2019.4.30</w:t>
      </w:r>
      <w:r w:rsidRPr="00542E19">
        <w:rPr>
          <w:rFonts w:ascii="宋体" w:hAnsi="宋体" w:hint="eastAsia"/>
          <w:kern w:val="0"/>
          <w:szCs w:val="21"/>
        </w:rPr>
        <w:t>）、博时乐臻定期开放混合型证券投资基金（</w:t>
      </w:r>
      <w:r w:rsidRPr="00542E19">
        <w:rPr>
          <w:rFonts w:ascii="宋体" w:hAnsi="宋体"/>
          <w:kern w:val="0"/>
          <w:szCs w:val="21"/>
        </w:rPr>
        <w:t>2016.9.29-2019.10.14）、博时转债增强债券型证券投资基金（2019.1.28-2020.4.3）、博时鑫源灵活配置混合型证券投资基金（2016.9.6-2020.7.20）、</w:t>
      </w:r>
      <w:r w:rsidRPr="00542E19">
        <w:rPr>
          <w:rFonts w:ascii="宋体" w:hAnsi="宋体" w:hint="eastAsia"/>
          <w:kern w:val="0"/>
          <w:szCs w:val="21"/>
        </w:rPr>
        <w:t>博时新起点灵活配置混合型证券投资基金（</w:t>
      </w:r>
      <w:r w:rsidRPr="00542E19">
        <w:rPr>
          <w:rFonts w:ascii="宋体" w:hAnsi="宋体"/>
          <w:kern w:val="0"/>
          <w:szCs w:val="21"/>
        </w:rPr>
        <w:t>2016.10.17-2020.7.20）、博时鑫瑞灵活配置混合型证券投资基金（2017.2.10-2020.7.20）的基金经理。现任公司董事总经理兼固定收益总部指数与创新组</w:t>
      </w:r>
      <w:r w:rsidRPr="00542E19">
        <w:rPr>
          <w:rFonts w:ascii="宋体" w:hAnsi="宋体"/>
          <w:kern w:val="0"/>
          <w:szCs w:val="21"/>
        </w:rPr>
        <w:lastRenderedPageBreak/>
        <w:t>负责人、博时信用债券投资基金（2009.6.10-</w:t>
      </w:r>
      <w:r w:rsidRPr="00542E19">
        <w:rPr>
          <w:rFonts w:ascii="宋体" w:hAnsi="宋体" w:hint="eastAsia"/>
          <w:kern w:val="0"/>
          <w:szCs w:val="21"/>
        </w:rPr>
        <w:t>至今）、博时新收益灵活配置混合型证券投资基金（</w:t>
      </w:r>
      <w:r w:rsidRPr="00542E19">
        <w:rPr>
          <w:rFonts w:ascii="宋体" w:hAnsi="宋体"/>
          <w:kern w:val="0"/>
          <w:szCs w:val="21"/>
        </w:rPr>
        <w:t>2016.2.29-</w:t>
      </w:r>
      <w:r w:rsidRPr="00542E19">
        <w:rPr>
          <w:rFonts w:ascii="宋体" w:hAnsi="宋体" w:hint="eastAsia"/>
          <w:kern w:val="0"/>
          <w:szCs w:val="21"/>
        </w:rPr>
        <w:t>至今）、博时中债</w:t>
      </w:r>
      <w:r w:rsidRPr="00542E19">
        <w:rPr>
          <w:rFonts w:ascii="宋体" w:hAnsi="宋体"/>
          <w:kern w:val="0"/>
          <w:szCs w:val="21"/>
        </w:rPr>
        <w:t>3-5</w:t>
      </w:r>
      <w:r w:rsidRPr="00542E19">
        <w:rPr>
          <w:rFonts w:ascii="宋体" w:hAnsi="宋体" w:hint="eastAsia"/>
          <w:kern w:val="0"/>
          <w:szCs w:val="21"/>
        </w:rPr>
        <w:t>年进出口行债券指数证券投资基金（</w:t>
      </w:r>
      <w:r w:rsidRPr="00542E19">
        <w:rPr>
          <w:rFonts w:ascii="宋体" w:hAnsi="宋体"/>
          <w:kern w:val="0"/>
          <w:szCs w:val="21"/>
        </w:rPr>
        <w:t>2018.12.25-</w:t>
      </w:r>
      <w:r w:rsidRPr="00542E19">
        <w:rPr>
          <w:rFonts w:ascii="宋体" w:hAnsi="宋体" w:hint="eastAsia"/>
          <w:kern w:val="0"/>
          <w:szCs w:val="21"/>
        </w:rPr>
        <w:t>至今）、博时中债</w:t>
      </w:r>
      <w:r w:rsidRPr="00542E19">
        <w:rPr>
          <w:rFonts w:ascii="宋体" w:hAnsi="宋体"/>
          <w:kern w:val="0"/>
          <w:szCs w:val="21"/>
        </w:rPr>
        <w:t>3-5</w:t>
      </w:r>
      <w:r w:rsidRPr="00542E19">
        <w:rPr>
          <w:rFonts w:ascii="宋体" w:hAnsi="宋体" w:hint="eastAsia"/>
          <w:kern w:val="0"/>
          <w:szCs w:val="21"/>
        </w:rPr>
        <w:t>年国开行债券指数证券投资基金（</w:t>
      </w:r>
      <w:r w:rsidRPr="00542E19">
        <w:rPr>
          <w:rFonts w:ascii="宋体" w:hAnsi="宋体"/>
          <w:kern w:val="0"/>
          <w:szCs w:val="21"/>
        </w:rPr>
        <w:t>2019.7.19-</w:t>
      </w:r>
      <w:r w:rsidRPr="00542E19">
        <w:rPr>
          <w:rFonts w:ascii="宋体" w:hAnsi="宋体" w:hint="eastAsia"/>
          <w:kern w:val="0"/>
          <w:szCs w:val="21"/>
        </w:rPr>
        <w:t>至今）的基金经理。</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黄瑞庆先生，博士。</w:t>
      </w:r>
      <w:r w:rsidRPr="00542E19">
        <w:rPr>
          <w:rFonts w:ascii="宋体" w:hAnsi="宋体"/>
          <w:kern w:val="0"/>
          <w:szCs w:val="21"/>
        </w:rPr>
        <w:t>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hint="eastAsia"/>
          <w:kern w:val="0"/>
          <w:szCs w:val="21"/>
        </w:rPr>
        <w:t>曾鹏先生，硕士。</w:t>
      </w:r>
      <w:r w:rsidRPr="00542E19">
        <w:rPr>
          <w:rFonts w:ascii="宋体" w:hAnsi="宋体"/>
          <w:kern w:val="0"/>
          <w:szCs w:val="21"/>
        </w:rPr>
        <w:t>2005年起先后在上投摩根基金、嘉实基金从事研究、投资工作。2012年加入博时基金管理有限公司。历任投资经理、博时灵活配置混合型证券投资基金(2015年2月9日-2016年4月25日)基金经理。现任权益投资总部一体化投研总监兼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的基金经理。</w:t>
      </w:r>
    </w:p>
    <w:p w:rsidR="00095DE4" w:rsidRPr="00542E19" w:rsidRDefault="00095DE4" w:rsidP="00095DE4">
      <w:pPr>
        <w:spacing w:line="360" w:lineRule="auto"/>
        <w:ind w:firstLineChars="200" w:firstLine="420"/>
        <w:rPr>
          <w:rFonts w:ascii="宋体" w:hAnsi="宋体"/>
          <w:kern w:val="0"/>
          <w:szCs w:val="21"/>
        </w:rPr>
      </w:pPr>
      <w:r w:rsidRPr="00542E19">
        <w:rPr>
          <w:rFonts w:ascii="宋体" w:hAnsi="宋体"/>
          <w:kern w:val="0"/>
          <w:szCs w:val="21"/>
        </w:rPr>
        <w:t xml:space="preserve"> 6、上述人员之间均不存在近亲属关系。</w:t>
      </w:r>
    </w:p>
    <w:p w:rsidR="000E520F" w:rsidRDefault="00D34D5D">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、依法募集资金，办理或者委托经中国证监会认定的其他机构代为办理基金份额的发售、申购、赎回和登记事宜；</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lastRenderedPageBreak/>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w:t>
      </w:r>
      <w:r>
        <w:rPr>
          <w:rFonts w:ascii="宋体" w:hAnsi="宋体" w:cs="Arial"/>
          <w:szCs w:val="21"/>
        </w:rPr>
        <w:t>编制季度报告、中期报告和年度报告</w:t>
      </w:r>
      <w:r>
        <w:rPr>
          <w:rFonts w:ascii="Arial Unicode MS" w:hAnsi="Arial Unicode MS" w:cs="Arial" w:hint="eastAsia"/>
          <w:bCs/>
          <w:szCs w:val="21"/>
        </w:rPr>
        <w:t>；</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lastRenderedPageBreak/>
        <w:t>23</w:t>
      </w:r>
      <w:r>
        <w:rPr>
          <w:rFonts w:ascii="Arial Unicode MS" w:hAnsi="Arial Unicode MS" w:cs="Arial" w:hint="eastAsia"/>
          <w:bCs/>
          <w:szCs w:val="21"/>
        </w:rPr>
        <w:t>、以基金管理人名义，代表基金份额持有人利益行使诉讼权利或实施其他法律行为；</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rsidR="000E520F" w:rsidRDefault="00D34D5D">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rsidR="000E520F" w:rsidRDefault="00D34D5D">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lastRenderedPageBreak/>
        <w:t>1</w:t>
      </w:r>
      <w:r>
        <w:rPr>
          <w:rFonts w:ascii="Arial Unicode MS" w:hAnsi="Arial Unicode MS" w:cs="Arial" w:hint="eastAsia"/>
          <w:szCs w:val="21"/>
        </w:rPr>
        <w:t>、依照有关法律法规和基金合同的规定，本着谨慎的原则为基金份额持有人谋取最大利益；</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rsidR="000E520F" w:rsidRDefault="00D34D5D">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rsidR="000E520F" w:rsidRDefault="00D34D5D">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、风险管理的原则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）全面性原则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公司风险管理必须覆盖公司的所有部门和岗位，渗透各项业务过程和业务环节。</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）独立性原则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公司设立独立的监察部，监察部保持高度的独立性和权威性，负责对公司各部门风险控制工作进行稽核和检查。</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）相互制约原则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公司及各部门在内部组织结构的设计上要形成一种相互制约的机制，建立不同岗位之间的制衡体系。</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）定性和定量相结合原则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建立完备的风险管理指标体系，使风险管理更具客观性和操作性。</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、风险管理和内部风险控制体系结构</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）董事会</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负责制定公司的风险管理政策，对风险管理负完全的和最终的责任。</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）风险管理委员会</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）督察长</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独立行使督察权利；直接对董事会负责；按季向风险管理委员会提交独立的风险管理报告和风险管理建议。</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）监察法律部</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）风险管理部</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）业务部门</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szCs w:val="21"/>
        </w:rPr>
        <w:t>、风险管理和内部风险控制的措施</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）建立内控结构，完善内控制度</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）建立相互分离、相互制衡的内控机制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建立、健全了各项制度，做到基金经理分开，投资决策分开，基金交易集中，形成不同部门，不同岗位之间的制衡机制，从制度上减少和防范风险。</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）建立、健全岗位责任制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建立、健全了岗位责任制，使每个员工都明确自己的任务、职责，并及时将各自工作领域中的风险隐患上报，以防范和减少风险。</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）建立风险分类、识别、评估、报告、提示程序</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）建立有效的内部监控系统</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建立了足够、有效的内部监控系统，如电脑预警系统、投资监控系统，对可能出现的各种风险进行全面和实时的监控。</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）使用数量化的风险管理手段</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采取数量化、技术化的风险控制手段，建立数量化的风险管理模型，用以提示指数趋势、行业及个股的风险，以便公司及时采取有效的措施，对风险进行分散、控制和规避，尽可能地减少损失。</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7</w:t>
      </w:r>
      <w:r>
        <w:rPr>
          <w:rFonts w:ascii="Arial Unicode MS" w:hAnsi="Arial Unicode MS" w:cs="Arial"/>
          <w:szCs w:val="21"/>
        </w:rPr>
        <w:t>）提供足够的培训</w:t>
      </w:r>
    </w:p>
    <w:p w:rsidR="000E520F" w:rsidRDefault="00D34D5D">
      <w:pPr>
        <w:widowControl/>
        <w:adjustRightInd w:val="0"/>
        <w:snapToGrid w:val="0"/>
        <w:spacing w:line="360" w:lineRule="auto"/>
        <w:ind w:firstLineChars="200" w:firstLine="420"/>
        <w:rPr>
          <w:rFonts w:ascii="Arial Unicode MS" w:hAnsi="Arial Unicode MS" w:cs="Arial"/>
          <w:b/>
          <w:bCs/>
          <w:szCs w:val="21"/>
        </w:rPr>
      </w:pPr>
      <w:r>
        <w:rPr>
          <w:rFonts w:ascii="Arial Unicode MS" w:hAnsi="Arial Unicode MS" w:cs="Arial"/>
          <w:szCs w:val="21"/>
        </w:rPr>
        <w:t>制定了完整的培训计划，为所有员工提供足够和适当的培训，使员工明确其职责所在，控制风险。</w:t>
      </w:r>
    </w:p>
    <w:p w:rsidR="000E520F" w:rsidRDefault="000E520F">
      <w:pPr>
        <w:widowControl/>
        <w:adjustRightInd w:val="0"/>
        <w:snapToGrid w:val="0"/>
        <w:spacing w:line="360" w:lineRule="auto"/>
        <w:ind w:firstLineChars="200" w:firstLine="422"/>
        <w:rPr>
          <w:rFonts w:ascii="Arial Unicode MS" w:hAnsi="Arial Unicode MS" w:cs="Arial"/>
          <w:b/>
          <w:bCs/>
          <w:szCs w:val="21"/>
        </w:rPr>
        <w:sectPr w:rsidR="000E520F">
          <w:footerReference w:type="default" r:id="rId23"/>
          <w:footerReference w:type="first" r:id="rId24"/>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22" w:name="_Toc429490281"/>
      <w:bookmarkStart w:id="23" w:name="_Toc47604308"/>
      <w:bookmarkStart w:id="24" w:name="_Toc47622416"/>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9"/>
      <w:bookmarkEnd w:id="20"/>
      <w:bookmarkEnd w:id="22"/>
      <w:bookmarkEnd w:id="23"/>
      <w:bookmarkEnd w:id="24"/>
    </w:p>
    <w:p w:rsidR="000E520F" w:rsidRPr="00D34D5D" w:rsidRDefault="00D34D5D" w:rsidP="00D34D5D">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w:t>
      </w:r>
      <w:r w:rsidRPr="00D34D5D">
        <w:rPr>
          <w:rFonts w:ascii="Arial Unicode MS" w:hAnsi="Arial Unicode MS" w:cs="Arial" w:hint="eastAsia"/>
          <w:b/>
          <w:szCs w:val="21"/>
        </w:rPr>
        <w:t>基金托管人概况</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、基本情况</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名称：中国民生银行股份有限公司（以下简称“中国民生银行”）</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住所：北京市西城区复兴门内大街</w:t>
      </w:r>
      <w:r>
        <w:rPr>
          <w:rFonts w:ascii="Arial Unicode MS" w:hAnsi="Arial Unicode MS" w:cs="Arial" w:hint="eastAsia"/>
          <w:szCs w:val="21"/>
        </w:rPr>
        <w:t>2</w:t>
      </w:r>
      <w:r>
        <w:rPr>
          <w:rFonts w:ascii="Arial Unicode MS" w:hAnsi="Arial Unicode MS" w:cs="Arial" w:hint="eastAsia"/>
          <w:szCs w:val="21"/>
        </w:rPr>
        <w:t>号</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办公地址：北京市西城区复兴门内大街</w:t>
      </w:r>
      <w:r>
        <w:rPr>
          <w:rFonts w:ascii="Arial Unicode MS" w:hAnsi="Arial Unicode MS" w:cs="Arial" w:hint="eastAsia"/>
          <w:szCs w:val="21"/>
        </w:rPr>
        <w:t>2</w:t>
      </w:r>
      <w:r>
        <w:rPr>
          <w:rFonts w:ascii="Arial Unicode MS" w:hAnsi="Arial Unicode MS" w:cs="Arial" w:hint="eastAsia"/>
          <w:szCs w:val="21"/>
        </w:rPr>
        <w:t>号</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法定代表人：高迎欣</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成立时间：</w:t>
      </w:r>
      <w:r>
        <w:rPr>
          <w:rFonts w:ascii="Arial Unicode MS" w:hAnsi="Arial Unicode MS" w:cs="Arial" w:hint="eastAsia"/>
          <w:szCs w:val="21"/>
        </w:rPr>
        <w:t>1996</w:t>
      </w:r>
      <w:r>
        <w:rPr>
          <w:rFonts w:ascii="Arial Unicode MS" w:hAnsi="Arial Unicode MS" w:cs="Arial" w:hint="eastAsia"/>
          <w:szCs w:val="21"/>
        </w:rPr>
        <w:t>年</w:t>
      </w:r>
      <w:r>
        <w:rPr>
          <w:rFonts w:ascii="Arial Unicode MS" w:hAnsi="Arial Unicode MS" w:cs="Arial" w:hint="eastAsia"/>
          <w:szCs w:val="21"/>
        </w:rPr>
        <w:t>2</w:t>
      </w:r>
      <w:r>
        <w:rPr>
          <w:rFonts w:ascii="Arial Unicode MS" w:hAnsi="Arial Unicode MS" w:cs="Arial" w:hint="eastAsia"/>
          <w:szCs w:val="21"/>
        </w:rPr>
        <w:t>月</w:t>
      </w:r>
      <w:r>
        <w:rPr>
          <w:rFonts w:ascii="Arial Unicode MS" w:hAnsi="Arial Unicode MS" w:cs="Arial" w:hint="eastAsia"/>
          <w:szCs w:val="21"/>
        </w:rPr>
        <w:t>7</w:t>
      </w:r>
      <w:r>
        <w:rPr>
          <w:rFonts w:ascii="Arial Unicode MS" w:hAnsi="Arial Unicode MS" w:cs="Arial" w:hint="eastAsia"/>
          <w:szCs w:val="21"/>
        </w:rPr>
        <w:t>日</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基金托管业务批准文号：证监基金字［</w:t>
      </w:r>
      <w:r>
        <w:rPr>
          <w:rFonts w:ascii="Arial Unicode MS" w:hAnsi="Arial Unicode MS" w:cs="Arial" w:hint="eastAsia"/>
          <w:szCs w:val="21"/>
        </w:rPr>
        <w:t>2004</w:t>
      </w:r>
      <w:r>
        <w:rPr>
          <w:rFonts w:ascii="Arial Unicode MS" w:hAnsi="Arial Unicode MS" w:cs="Arial" w:hint="eastAsia"/>
          <w:szCs w:val="21"/>
        </w:rPr>
        <w:t>］</w:t>
      </w:r>
      <w:r>
        <w:rPr>
          <w:rFonts w:ascii="Arial Unicode MS" w:hAnsi="Arial Unicode MS" w:cs="Arial" w:hint="eastAsia"/>
          <w:szCs w:val="21"/>
        </w:rPr>
        <w:t>101</w:t>
      </w:r>
      <w:r>
        <w:rPr>
          <w:rFonts w:ascii="Arial Unicode MS" w:hAnsi="Arial Unicode MS" w:cs="Arial" w:hint="eastAsia"/>
          <w:szCs w:val="21"/>
        </w:rPr>
        <w:t>号</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组织形式：其他股份有限公司（上市）</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注册资本：</w:t>
      </w:r>
      <w:r>
        <w:rPr>
          <w:rFonts w:ascii="Arial Unicode MS" w:hAnsi="Arial Unicode MS" w:cs="Arial" w:hint="eastAsia"/>
          <w:szCs w:val="21"/>
        </w:rPr>
        <w:t>28,365,585,227</w:t>
      </w:r>
      <w:r>
        <w:rPr>
          <w:rFonts w:ascii="Arial Unicode MS" w:hAnsi="Arial Unicode MS" w:cs="Arial" w:hint="eastAsia"/>
          <w:szCs w:val="21"/>
        </w:rPr>
        <w:t>元人民币</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存续期间：持续经营</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电话：</w:t>
      </w:r>
      <w:r>
        <w:rPr>
          <w:rFonts w:ascii="Arial Unicode MS" w:hAnsi="Arial Unicode MS" w:cs="Arial" w:hint="eastAsia"/>
          <w:szCs w:val="21"/>
        </w:rPr>
        <w:t xml:space="preserve">010-58560666 </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联系人：罗菲菲</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中国民生银行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二十年来，业务不断拓展，规模不断扩大，效益逐年递增，并保持了快速健康的发展势头。</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2000</w:t>
      </w:r>
      <w:r>
        <w:rPr>
          <w:rFonts w:ascii="Arial Unicode MS" w:hAnsi="Arial Unicode MS" w:cs="Arial" w:hint="eastAsia"/>
          <w:szCs w:val="21"/>
        </w:rPr>
        <w:t>年</w:t>
      </w:r>
      <w:r>
        <w:rPr>
          <w:rFonts w:ascii="Arial Unicode MS" w:hAnsi="Arial Unicode MS" w:cs="Arial" w:hint="eastAsia"/>
          <w:szCs w:val="21"/>
        </w:rPr>
        <w:t>12</w:t>
      </w:r>
      <w:r>
        <w:rPr>
          <w:rFonts w:ascii="Arial Unicode MS" w:hAnsi="Arial Unicode MS" w:cs="Arial" w:hint="eastAsia"/>
          <w:szCs w:val="21"/>
        </w:rPr>
        <w:t>月</w:t>
      </w:r>
      <w:r>
        <w:rPr>
          <w:rFonts w:ascii="Arial Unicode MS" w:hAnsi="Arial Unicode MS" w:cs="Arial" w:hint="eastAsia"/>
          <w:szCs w:val="21"/>
        </w:rPr>
        <w:t>19</w:t>
      </w:r>
      <w:r>
        <w:rPr>
          <w:rFonts w:ascii="Arial Unicode MS" w:hAnsi="Arial Unicode MS" w:cs="Arial" w:hint="eastAsia"/>
          <w:szCs w:val="21"/>
        </w:rPr>
        <w:t>日，中国民生银行</w:t>
      </w:r>
      <w:r>
        <w:rPr>
          <w:rFonts w:ascii="Arial Unicode MS" w:hAnsi="Arial Unicode MS" w:cs="Arial" w:hint="eastAsia"/>
          <w:szCs w:val="21"/>
        </w:rPr>
        <w:t>A</w:t>
      </w:r>
      <w:r>
        <w:rPr>
          <w:rFonts w:ascii="Arial Unicode MS" w:hAnsi="Arial Unicode MS" w:cs="Arial" w:hint="eastAsia"/>
          <w:szCs w:val="21"/>
        </w:rPr>
        <w:t>股股票（</w:t>
      </w:r>
      <w:r>
        <w:rPr>
          <w:rFonts w:ascii="Arial Unicode MS" w:hAnsi="Arial Unicode MS" w:cs="Arial" w:hint="eastAsia"/>
          <w:szCs w:val="21"/>
        </w:rPr>
        <w:t>600016</w:t>
      </w:r>
      <w:r>
        <w:rPr>
          <w:rFonts w:ascii="Arial Unicode MS" w:hAnsi="Arial Unicode MS" w:cs="Arial" w:hint="eastAsia"/>
          <w:szCs w:val="21"/>
        </w:rPr>
        <w:t>）在上海证券交易所挂牌上市。</w:t>
      </w:r>
      <w:r>
        <w:rPr>
          <w:rFonts w:ascii="Arial Unicode MS" w:hAnsi="Arial Unicode MS" w:cs="Arial" w:hint="eastAsia"/>
          <w:szCs w:val="21"/>
        </w:rPr>
        <w:t xml:space="preserve"> 2003</w:t>
      </w:r>
      <w:r>
        <w:rPr>
          <w:rFonts w:ascii="Arial Unicode MS" w:hAnsi="Arial Unicode MS" w:cs="Arial" w:hint="eastAsia"/>
          <w:szCs w:val="21"/>
        </w:rPr>
        <w:t>年</w:t>
      </w:r>
      <w:r>
        <w:rPr>
          <w:rFonts w:ascii="Arial Unicode MS" w:hAnsi="Arial Unicode MS" w:cs="Arial" w:hint="eastAsia"/>
          <w:szCs w:val="21"/>
        </w:rPr>
        <w:t>3</w:t>
      </w:r>
      <w:r>
        <w:rPr>
          <w:rFonts w:ascii="Arial Unicode MS" w:hAnsi="Arial Unicode MS" w:cs="Arial" w:hint="eastAsia"/>
          <w:szCs w:val="21"/>
        </w:rPr>
        <w:t>月</w:t>
      </w:r>
      <w:r>
        <w:rPr>
          <w:rFonts w:ascii="Arial Unicode MS" w:hAnsi="Arial Unicode MS" w:cs="Arial" w:hint="eastAsia"/>
          <w:szCs w:val="21"/>
        </w:rPr>
        <w:t>18</w:t>
      </w:r>
      <w:r>
        <w:rPr>
          <w:rFonts w:ascii="Arial Unicode MS" w:hAnsi="Arial Unicode MS" w:cs="Arial" w:hint="eastAsia"/>
          <w:szCs w:val="21"/>
        </w:rPr>
        <w:t>日，中国民生银行</w:t>
      </w:r>
      <w:r>
        <w:rPr>
          <w:rFonts w:ascii="Arial Unicode MS" w:hAnsi="Arial Unicode MS" w:cs="Arial" w:hint="eastAsia"/>
          <w:szCs w:val="21"/>
        </w:rPr>
        <w:t>40</w:t>
      </w:r>
      <w:r>
        <w:rPr>
          <w:rFonts w:ascii="Arial Unicode MS" w:hAnsi="Arial Unicode MS" w:cs="Arial" w:hint="eastAsia"/>
          <w:szCs w:val="21"/>
        </w:rPr>
        <w:t>亿可转换公司债券在上交所正式挂牌交易。</w:t>
      </w:r>
      <w:r>
        <w:rPr>
          <w:rFonts w:ascii="Arial Unicode MS" w:hAnsi="Arial Unicode MS" w:cs="Arial" w:hint="eastAsia"/>
          <w:szCs w:val="21"/>
        </w:rPr>
        <w:t>2004</w:t>
      </w:r>
      <w:r>
        <w:rPr>
          <w:rFonts w:ascii="Arial Unicode MS" w:hAnsi="Arial Unicode MS" w:cs="Arial" w:hint="eastAsia"/>
          <w:szCs w:val="21"/>
        </w:rPr>
        <w:t>年</w:t>
      </w:r>
      <w:r>
        <w:rPr>
          <w:rFonts w:ascii="Arial Unicode MS" w:hAnsi="Arial Unicode MS" w:cs="Arial" w:hint="eastAsia"/>
          <w:szCs w:val="21"/>
        </w:rPr>
        <w:t>11</w:t>
      </w:r>
      <w:r>
        <w:rPr>
          <w:rFonts w:ascii="Arial Unicode MS" w:hAnsi="Arial Unicode MS" w:cs="Arial" w:hint="eastAsia"/>
          <w:szCs w:val="21"/>
        </w:rPr>
        <w:t>月</w:t>
      </w:r>
      <w:r>
        <w:rPr>
          <w:rFonts w:ascii="Arial Unicode MS" w:hAnsi="Arial Unicode MS" w:cs="Arial" w:hint="eastAsia"/>
          <w:szCs w:val="21"/>
        </w:rPr>
        <w:t>8</w:t>
      </w:r>
      <w:r>
        <w:rPr>
          <w:rFonts w:ascii="Arial Unicode MS" w:hAnsi="Arial Unicode MS" w:cs="Arial" w:hint="eastAsia"/>
          <w:szCs w:val="21"/>
        </w:rPr>
        <w:t>日，中国民生银行通过银行间债券市场成功发行了</w:t>
      </w:r>
      <w:r>
        <w:rPr>
          <w:rFonts w:ascii="Arial Unicode MS" w:hAnsi="Arial Unicode MS" w:cs="Arial" w:hint="eastAsia"/>
          <w:szCs w:val="21"/>
        </w:rPr>
        <w:t>58</w:t>
      </w:r>
      <w:r>
        <w:rPr>
          <w:rFonts w:ascii="Arial Unicode MS" w:hAnsi="Arial Unicode MS" w:cs="Arial" w:hint="eastAsia"/>
          <w:szCs w:val="21"/>
        </w:rPr>
        <w:t>亿元人民币次级债券，成为中国第一家在全国银行间债券市场成功私募发行次级债券的商业银行。</w:t>
      </w:r>
      <w:r>
        <w:rPr>
          <w:rFonts w:ascii="Arial Unicode MS" w:hAnsi="Arial Unicode MS" w:cs="Arial" w:hint="eastAsia"/>
          <w:szCs w:val="21"/>
        </w:rPr>
        <w:t>2005</w:t>
      </w:r>
      <w:r>
        <w:rPr>
          <w:rFonts w:ascii="Arial Unicode MS" w:hAnsi="Arial Unicode MS" w:cs="Arial" w:hint="eastAsia"/>
          <w:szCs w:val="21"/>
        </w:rPr>
        <w:t>年</w:t>
      </w:r>
      <w:r>
        <w:rPr>
          <w:rFonts w:ascii="Arial Unicode MS" w:hAnsi="Arial Unicode MS" w:cs="Arial" w:hint="eastAsia"/>
          <w:szCs w:val="21"/>
        </w:rPr>
        <w:t>10</w:t>
      </w:r>
      <w:r>
        <w:rPr>
          <w:rFonts w:ascii="Arial Unicode MS" w:hAnsi="Arial Unicode MS" w:cs="Arial" w:hint="eastAsia"/>
          <w:szCs w:val="21"/>
        </w:rPr>
        <w:t>月</w:t>
      </w:r>
      <w:r>
        <w:rPr>
          <w:rFonts w:ascii="Arial Unicode MS" w:hAnsi="Arial Unicode MS" w:cs="Arial" w:hint="eastAsia"/>
          <w:szCs w:val="21"/>
        </w:rPr>
        <w:t>26</w:t>
      </w:r>
      <w:r>
        <w:rPr>
          <w:rFonts w:ascii="Arial Unicode MS" w:hAnsi="Arial Unicode MS" w:cs="Arial" w:hint="eastAsia"/>
          <w:szCs w:val="21"/>
        </w:rPr>
        <w:t>日，民生银行成功完成股权分置改革，成为国内首家完成股权分置改革的商业银行，为中国资本市场股权分置改革提供了成功范例。</w:t>
      </w:r>
      <w:r>
        <w:rPr>
          <w:rFonts w:ascii="Arial Unicode MS" w:hAnsi="Arial Unicode MS" w:cs="Arial" w:hint="eastAsia"/>
          <w:szCs w:val="21"/>
        </w:rPr>
        <w:t xml:space="preserve"> 2009</w:t>
      </w:r>
      <w:r>
        <w:rPr>
          <w:rFonts w:ascii="Arial Unicode MS" w:hAnsi="Arial Unicode MS" w:cs="Arial" w:hint="eastAsia"/>
          <w:szCs w:val="21"/>
        </w:rPr>
        <w:t>年</w:t>
      </w:r>
      <w:r>
        <w:rPr>
          <w:rFonts w:ascii="Arial Unicode MS" w:hAnsi="Arial Unicode MS" w:cs="Arial" w:hint="eastAsia"/>
          <w:szCs w:val="21"/>
        </w:rPr>
        <w:t>11</w:t>
      </w:r>
      <w:r>
        <w:rPr>
          <w:rFonts w:ascii="Arial Unicode MS" w:hAnsi="Arial Unicode MS" w:cs="Arial" w:hint="eastAsia"/>
          <w:szCs w:val="21"/>
        </w:rPr>
        <w:t>月</w:t>
      </w:r>
      <w:r>
        <w:rPr>
          <w:rFonts w:ascii="Arial Unicode MS" w:hAnsi="Arial Unicode MS" w:cs="Arial" w:hint="eastAsia"/>
          <w:szCs w:val="21"/>
        </w:rPr>
        <w:t>26</w:t>
      </w:r>
      <w:r>
        <w:rPr>
          <w:rFonts w:ascii="Arial Unicode MS" w:hAnsi="Arial Unicode MS" w:cs="Arial" w:hint="eastAsia"/>
          <w:szCs w:val="21"/>
        </w:rPr>
        <w:t>日，中国民生银行在香港交易所挂牌上市。</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w:t>
      </w:r>
      <w:r>
        <w:rPr>
          <w:rFonts w:ascii="Arial Unicode MS" w:hAnsi="Arial Unicode MS" w:cs="Arial" w:hint="eastAsia"/>
          <w:szCs w:val="21"/>
        </w:rPr>
        <w:lastRenderedPageBreak/>
        <w:t>立评审制度、八大基础管理系统、集中处理商业模式及事业部改革等制度创新，实现了低风险、快增长、高效益的战略目标，树立了充满生机与活力的崭新的商业银行形象。</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民生银行荣获第十三届上市公司董事会“金圆桌”优秀董事会奖；</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民生银行在华夏时报社主办的第十一届金蝉奖评选中荣获“</w:t>
      </w:r>
      <w:r>
        <w:rPr>
          <w:rFonts w:ascii="Arial Unicode MS" w:hAnsi="Arial Unicode MS" w:cs="Arial" w:hint="eastAsia"/>
          <w:szCs w:val="21"/>
        </w:rPr>
        <w:t>2017</w:t>
      </w:r>
      <w:r>
        <w:rPr>
          <w:rFonts w:ascii="Arial Unicode MS" w:hAnsi="Arial Unicode MS" w:cs="Arial" w:hint="eastAsia"/>
          <w:szCs w:val="21"/>
        </w:rPr>
        <w:t>年度小微金融服务银行”；</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民生银行荣获《亚洲货币》杂志颁发的“</w:t>
      </w:r>
      <w:r>
        <w:rPr>
          <w:rFonts w:ascii="Arial Unicode MS" w:hAnsi="Arial Unicode MS" w:cs="Arial" w:hint="eastAsia"/>
          <w:szCs w:val="21"/>
        </w:rPr>
        <w:t>2016</w:t>
      </w:r>
      <w:r>
        <w:rPr>
          <w:rFonts w:ascii="Arial Unicode MS" w:hAnsi="Arial Unicode MS" w:cs="Arial" w:hint="eastAsia"/>
          <w:szCs w:val="21"/>
        </w:rPr>
        <w:t>中国地区最佳财富管理私人银行”奖项；</w:t>
      </w:r>
      <w:r>
        <w:rPr>
          <w:rFonts w:ascii="Arial Unicode MS" w:hAnsi="Arial Unicode MS" w:cs="Arial" w:hint="eastAsia"/>
          <w:szCs w:val="21"/>
        </w:rPr>
        <w:t xml:space="preserve"> </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民生银行荣获新浪财经颁发的“年度最佳电子银行”及“年度直销银行十强”奖项；</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w:t>
      </w:r>
      <w:r>
        <w:rPr>
          <w:rFonts w:ascii="Arial Unicode MS" w:hAnsi="Arial Unicode MS" w:cs="Arial" w:hint="eastAsia"/>
          <w:szCs w:val="21"/>
        </w:rPr>
        <w:t xml:space="preserve"> VISA </w:t>
      </w:r>
      <w:r>
        <w:rPr>
          <w:rFonts w:ascii="Arial Unicode MS" w:hAnsi="Arial Unicode MS" w:cs="Arial" w:hint="eastAsia"/>
          <w:szCs w:val="21"/>
        </w:rPr>
        <w:t>颁发的“最佳产品设计创新奖”；</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民生银行在经济观察报举办的“中国卓越金融奖”评选中荣获“年度卓越资产管理银行”；</w:t>
      </w:r>
      <w:r>
        <w:rPr>
          <w:rFonts w:ascii="Arial Unicode MS" w:hAnsi="Arial Unicode MS" w:cs="Arial" w:hint="eastAsia"/>
          <w:szCs w:val="21"/>
        </w:rPr>
        <w:t xml:space="preserve"> </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民生银行荣获全国银行间同业拆借中心授予的“</w:t>
      </w:r>
      <w:r>
        <w:rPr>
          <w:rFonts w:ascii="Arial Unicode MS" w:hAnsi="Arial Unicode MS" w:cs="Arial" w:hint="eastAsia"/>
          <w:szCs w:val="21"/>
        </w:rPr>
        <w:t>2016</w:t>
      </w:r>
      <w:r>
        <w:rPr>
          <w:rFonts w:ascii="Arial Unicode MS" w:hAnsi="Arial Unicode MS" w:cs="Arial" w:hint="eastAsia"/>
          <w:szCs w:val="21"/>
        </w:rPr>
        <w:t>年度银行间本币市场优秀交易商”、“</w:t>
      </w:r>
      <w:r>
        <w:rPr>
          <w:rFonts w:ascii="Arial Unicode MS" w:hAnsi="Arial Unicode MS" w:cs="Arial" w:hint="eastAsia"/>
          <w:szCs w:val="21"/>
        </w:rPr>
        <w:t>2016</w:t>
      </w:r>
      <w:r>
        <w:rPr>
          <w:rFonts w:ascii="Arial Unicode MS" w:hAnsi="Arial Unicode MS" w:cs="Arial" w:hint="eastAsia"/>
          <w:szCs w:val="21"/>
        </w:rPr>
        <w:t>年度银行间本币市场优秀衍生品交易商”及“</w:t>
      </w:r>
      <w:r>
        <w:rPr>
          <w:rFonts w:ascii="Arial Unicode MS" w:hAnsi="Arial Unicode MS" w:cs="Arial" w:hint="eastAsia"/>
          <w:szCs w:val="21"/>
        </w:rPr>
        <w:t>2016</w:t>
      </w:r>
      <w:r>
        <w:rPr>
          <w:rFonts w:ascii="Arial Unicode MS" w:hAnsi="Arial Unicode MS" w:cs="Arial" w:hint="eastAsia"/>
          <w:szCs w:val="21"/>
        </w:rPr>
        <w:t>年度银行间本币市场优秀债券交易商”奖项；</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民生银行荣获中国银行间交易协商会授予的“</w:t>
      </w:r>
      <w:r>
        <w:rPr>
          <w:rFonts w:ascii="Arial Unicode MS" w:hAnsi="Arial Unicode MS" w:cs="Arial" w:hint="eastAsia"/>
          <w:szCs w:val="21"/>
        </w:rPr>
        <w:t>2016</w:t>
      </w:r>
      <w:r>
        <w:rPr>
          <w:rFonts w:ascii="Arial Unicode MS" w:hAnsi="Arial Unicode MS" w:cs="Arial" w:hint="eastAsia"/>
          <w:szCs w:val="21"/>
        </w:rPr>
        <w:t>年度优秀综合做市机构”和“</w:t>
      </w:r>
      <w:r>
        <w:rPr>
          <w:rFonts w:ascii="Arial Unicode MS" w:hAnsi="Arial Unicode MS" w:cs="Arial" w:hint="eastAsia"/>
          <w:szCs w:val="21"/>
        </w:rPr>
        <w:t>2016</w:t>
      </w:r>
      <w:r>
        <w:rPr>
          <w:rFonts w:ascii="Arial Unicode MS" w:hAnsi="Arial Unicode MS" w:cs="Arial" w:hint="eastAsia"/>
          <w:szCs w:val="21"/>
        </w:rPr>
        <w:t>年度优秀信用债做市商”奖项；</w:t>
      </w:r>
      <w:r>
        <w:rPr>
          <w:rFonts w:ascii="Arial Unicode MS" w:hAnsi="Arial Unicode MS" w:cs="Arial" w:hint="eastAsia"/>
          <w:szCs w:val="21"/>
        </w:rPr>
        <w:t xml:space="preserve"> </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民生银行荣获英国</w:t>
      </w:r>
      <w:r>
        <w:rPr>
          <w:rFonts w:ascii="Arial Unicode MS" w:hAnsi="Arial Unicode MS" w:cs="Arial" w:hint="eastAsia"/>
          <w:szCs w:val="21"/>
        </w:rPr>
        <w:t>WPP</w:t>
      </w:r>
      <w:r>
        <w:rPr>
          <w:rFonts w:ascii="Arial Unicode MS" w:hAnsi="Arial Unicode MS" w:cs="Arial" w:hint="eastAsia"/>
          <w:szCs w:val="21"/>
        </w:rPr>
        <w:t>（全球最大的传媒集团之一）颁发的“</w:t>
      </w:r>
      <w:r>
        <w:rPr>
          <w:rFonts w:ascii="Arial Unicode MS" w:hAnsi="Arial Unicode MS" w:cs="Arial" w:hint="eastAsia"/>
          <w:szCs w:val="21"/>
        </w:rPr>
        <w:t xml:space="preserve">2017 </w:t>
      </w:r>
      <w:r>
        <w:rPr>
          <w:rFonts w:ascii="Arial Unicode MS" w:hAnsi="Arial Unicode MS" w:cs="Arial" w:hint="eastAsia"/>
          <w:szCs w:val="21"/>
        </w:rPr>
        <w:t>年度最具价值中国品牌</w:t>
      </w:r>
      <w:r>
        <w:rPr>
          <w:rFonts w:ascii="Arial Unicode MS" w:hAnsi="Arial Unicode MS" w:cs="Arial" w:hint="eastAsia"/>
          <w:szCs w:val="21"/>
        </w:rPr>
        <w:t>100</w:t>
      </w:r>
      <w:r>
        <w:rPr>
          <w:rFonts w:ascii="Arial Unicode MS" w:hAnsi="Arial Unicode MS" w:cs="Arial" w:hint="eastAsia"/>
          <w:szCs w:val="21"/>
        </w:rPr>
        <w:t>强”；</w:t>
      </w:r>
      <w:r>
        <w:rPr>
          <w:rFonts w:ascii="Arial Unicode MS" w:hAnsi="Arial Unicode MS" w:cs="Arial" w:hint="eastAsia"/>
          <w:szCs w:val="21"/>
        </w:rPr>
        <w:t xml:space="preserve"> </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民生银行在中国资产证券化论坛年会上被授予“</w:t>
      </w:r>
      <w:r>
        <w:rPr>
          <w:rFonts w:ascii="Arial Unicode MS" w:hAnsi="Arial Unicode MS" w:cs="Arial" w:hint="eastAsia"/>
          <w:szCs w:val="21"/>
        </w:rPr>
        <w:t>2016</w:t>
      </w:r>
      <w:r>
        <w:rPr>
          <w:rFonts w:ascii="Arial Unicode MS" w:hAnsi="Arial Unicode MS" w:cs="Arial" w:hint="eastAsia"/>
          <w:szCs w:val="21"/>
        </w:rPr>
        <w:t>年度特殊贡献奖”。</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、主要人员情况</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张庆先生，中国民生银行资产托管部总经理，博士研究生，具有基金托管人高级管理人员任职资格，从事过金融租赁、证券投资、银行管理等工作，具有</w:t>
      </w:r>
      <w:r>
        <w:rPr>
          <w:rFonts w:ascii="Arial Unicode MS" w:hAnsi="Arial Unicode MS" w:cs="Arial" w:hint="eastAsia"/>
          <w:szCs w:val="21"/>
        </w:rPr>
        <w:t>26</w:t>
      </w:r>
      <w:r>
        <w:rPr>
          <w:rFonts w:ascii="Arial Unicode MS" w:hAnsi="Arial Unicode MS" w:cs="Arial" w:hint="eastAsia"/>
          <w:szCs w:val="21"/>
        </w:rPr>
        <w:t>年金融从业经历，不仅有丰富的一线实战经验，还有扎实的总部管理经历。历任中国民生银行西安分行副行长，中国民生银行沈阳分行筹备组组长、行长、党委书记。</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、基金托管业务经营情况</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中国民生银行股份有限公司于</w:t>
      </w:r>
      <w:r>
        <w:rPr>
          <w:rFonts w:ascii="Arial Unicode MS" w:hAnsi="Arial Unicode MS" w:cs="Arial" w:hint="eastAsia"/>
          <w:szCs w:val="21"/>
        </w:rPr>
        <w:t>2004</w:t>
      </w:r>
      <w:r>
        <w:rPr>
          <w:rFonts w:ascii="Arial Unicode MS" w:hAnsi="Arial Unicode MS" w:cs="Arial" w:hint="eastAsia"/>
          <w:szCs w:val="21"/>
        </w:rPr>
        <w:t>年</w:t>
      </w:r>
      <w:r>
        <w:rPr>
          <w:rFonts w:ascii="Arial Unicode MS" w:hAnsi="Arial Unicode MS" w:cs="Arial" w:hint="eastAsia"/>
          <w:szCs w:val="21"/>
        </w:rPr>
        <w:t>7</w:t>
      </w:r>
      <w:r>
        <w:rPr>
          <w:rFonts w:ascii="Arial Unicode MS" w:hAnsi="Arial Unicode MS" w:cs="Arial" w:hint="eastAsia"/>
          <w:szCs w:val="21"/>
        </w:rPr>
        <w:t>月</w:t>
      </w:r>
      <w:r>
        <w:rPr>
          <w:rFonts w:ascii="Arial Unicode MS" w:hAnsi="Arial Unicode MS" w:cs="Arial" w:hint="eastAsia"/>
          <w:szCs w:val="21"/>
        </w:rPr>
        <w:t>9</w:t>
      </w:r>
      <w:r>
        <w:rPr>
          <w:rFonts w:ascii="Arial Unicode MS" w:hAnsi="Arial Unicode MS" w:cs="Arial" w:hint="eastAsia"/>
          <w:szCs w:val="21"/>
        </w:rPr>
        <w:t>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w:t>
      </w:r>
      <w:r>
        <w:rPr>
          <w:rFonts w:ascii="Arial Unicode MS" w:hAnsi="Arial Unicode MS" w:cs="Arial" w:hint="eastAsia"/>
          <w:szCs w:val="21"/>
        </w:rPr>
        <w:t>72</w:t>
      </w:r>
      <w:r>
        <w:rPr>
          <w:rFonts w:ascii="Arial Unicode MS" w:hAnsi="Arial Unicode MS" w:cs="Arial" w:hint="eastAsia"/>
          <w:szCs w:val="21"/>
        </w:rPr>
        <w:t>人，平均年龄</w:t>
      </w:r>
      <w:r>
        <w:rPr>
          <w:rFonts w:ascii="Arial Unicode MS" w:hAnsi="Arial Unicode MS" w:cs="Arial" w:hint="eastAsia"/>
          <w:szCs w:val="21"/>
        </w:rPr>
        <w:t>38</w:t>
      </w:r>
      <w:r>
        <w:rPr>
          <w:rFonts w:ascii="Arial Unicode MS" w:hAnsi="Arial Unicode MS" w:cs="Arial" w:hint="eastAsia"/>
          <w:szCs w:val="21"/>
        </w:rPr>
        <w:t>岁，</w:t>
      </w:r>
      <w:r>
        <w:rPr>
          <w:rFonts w:ascii="Arial Unicode MS" w:hAnsi="Arial Unicode MS" w:cs="Arial" w:hint="eastAsia"/>
          <w:szCs w:val="21"/>
        </w:rPr>
        <w:t>100%</w:t>
      </w:r>
      <w:r>
        <w:rPr>
          <w:rFonts w:ascii="Arial Unicode MS" w:hAnsi="Arial Unicode MS" w:cs="Arial" w:hint="eastAsia"/>
          <w:szCs w:val="21"/>
        </w:rPr>
        <w:t>员工拥有大学本科以上学历，</w:t>
      </w:r>
      <w:r>
        <w:rPr>
          <w:rFonts w:ascii="Arial Unicode MS" w:hAnsi="Arial Unicode MS" w:cs="Arial" w:hint="eastAsia"/>
          <w:szCs w:val="21"/>
        </w:rPr>
        <w:t>64%</w:t>
      </w:r>
      <w:r>
        <w:rPr>
          <w:rFonts w:ascii="Arial Unicode MS" w:hAnsi="Arial Unicode MS" w:cs="Arial" w:hint="eastAsia"/>
          <w:szCs w:val="21"/>
        </w:rPr>
        <w:t>以上员工具有硕士以上文凭。</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中国民生银行坚持以客户需求为导向，秉承“诚信、严谨、高效、务实”的经营理念，依托丰富的资产托管经验、专业的托管业务服务和先进的托管业务平台，为境内外客户提供安全、准确、及时、高效的专业托管服务。截至</w:t>
      </w:r>
      <w:r>
        <w:rPr>
          <w:rFonts w:ascii="Arial Unicode MS" w:hAnsi="Arial Unicode MS" w:cs="Arial" w:hint="eastAsia"/>
          <w:szCs w:val="21"/>
        </w:rPr>
        <w:t>2020</w:t>
      </w:r>
      <w:r>
        <w:rPr>
          <w:rFonts w:ascii="Arial Unicode MS" w:hAnsi="Arial Unicode MS" w:cs="Arial" w:hint="eastAsia"/>
          <w:szCs w:val="21"/>
        </w:rPr>
        <w:t>年</w:t>
      </w:r>
      <w:r>
        <w:rPr>
          <w:rFonts w:ascii="Arial Unicode MS" w:hAnsi="Arial Unicode MS" w:cs="Arial" w:hint="eastAsia"/>
          <w:szCs w:val="21"/>
        </w:rPr>
        <w:t>3</w:t>
      </w:r>
      <w:r>
        <w:rPr>
          <w:rFonts w:ascii="Arial Unicode MS" w:hAnsi="Arial Unicode MS" w:cs="Arial" w:hint="eastAsia"/>
          <w:szCs w:val="21"/>
        </w:rPr>
        <w:t>月</w:t>
      </w:r>
      <w:r>
        <w:rPr>
          <w:rFonts w:ascii="Arial Unicode MS" w:hAnsi="Arial Unicode MS" w:cs="Arial" w:hint="eastAsia"/>
          <w:szCs w:val="21"/>
        </w:rPr>
        <w:t>31</w:t>
      </w:r>
      <w:r>
        <w:rPr>
          <w:rFonts w:ascii="Arial Unicode MS" w:hAnsi="Arial Unicode MS" w:cs="Arial" w:hint="eastAsia"/>
          <w:szCs w:val="21"/>
        </w:rPr>
        <w:t>日，中国民生银行已托管</w:t>
      </w:r>
      <w:r>
        <w:rPr>
          <w:rFonts w:ascii="Arial Unicode MS" w:hAnsi="Arial Unicode MS" w:cs="Arial" w:hint="eastAsia"/>
          <w:szCs w:val="21"/>
        </w:rPr>
        <w:t>238</w:t>
      </w:r>
      <w:r>
        <w:rPr>
          <w:rFonts w:ascii="Arial Unicode MS" w:hAnsi="Arial Unicode MS" w:cs="Arial" w:hint="eastAsia"/>
          <w:szCs w:val="21"/>
        </w:rPr>
        <w:t>只证券投资基金。中国民生银行资产托管部于</w:t>
      </w:r>
      <w:r>
        <w:rPr>
          <w:rFonts w:ascii="Arial Unicode MS" w:hAnsi="Arial Unicode MS" w:cs="Arial" w:hint="eastAsia"/>
          <w:szCs w:val="21"/>
        </w:rPr>
        <w:t>2018</w:t>
      </w:r>
      <w:r>
        <w:rPr>
          <w:rFonts w:ascii="Arial Unicode MS" w:hAnsi="Arial Unicode MS" w:cs="Arial" w:hint="eastAsia"/>
          <w:szCs w:val="21"/>
        </w:rPr>
        <w:t>年</w:t>
      </w:r>
      <w:r>
        <w:rPr>
          <w:rFonts w:ascii="Arial Unicode MS" w:hAnsi="Arial Unicode MS" w:cs="Arial" w:hint="eastAsia"/>
          <w:szCs w:val="21"/>
        </w:rPr>
        <w:t>2</w:t>
      </w:r>
      <w:r>
        <w:rPr>
          <w:rFonts w:ascii="Arial Unicode MS" w:hAnsi="Arial Unicode MS" w:cs="Arial" w:hint="eastAsia"/>
          <w:szCs w:val="21"/>
        </w:rPr>
        <w:t>月</w:t>
      </w:r>
      <w:r>
        <w:rPr>
          <w:rFonts w:ascii="Arial Unicode MS" w:hAnsi="Arial Unicode MS" w:cs="Arial" w:hint="eastAsia"/>
          <w:szCs w:val="21"/>
        </w:rPr>
        <w:t>6</w:t>
      </w:r>
      <w:r>
        <w:rPr>
          <w:rFonts w:ascii="Arial Unicode MS" w:hAnsi="Arial Unicode MS" w:cs="Arial" w:hint="eastAsia"/>
          <w:szCs w:val="21"/>
        </w:rPr>
        <w:t>日发布了“爱托管”品牌，近百余家资管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w:t>
      </w:r>
      <w:r>
        <w:rPr>
          <w:rFonts w:ascii="Arial Unicode MS" w:hAnsi="Arial Unicode MS" w:cs="Arial" w:hint="eastAsia"/>
          <w:szCs w:val="21"/>
        </w:rPr>
        <w:t>2010</w:t>
      </w:r>
      <w:r>
        <w:rPr>
          <w:rFonts w:ascii="Arial Unicode MS" w:hAnsi="Arial Unicode MS" w:cs="Arial" w:hint="eastAsia"/>
          <w:szCs w:val="21"/>
        </w:rPr>
        <w:t>年至今，中国民生银行荣获《金融理财》杂志颁发的“最具潜力托管银行”、“最佳创新托管银行”、“金牌创新力托管银行”奖和“年度金牌托管银行”奖，荣获《</w:t>
      </w:r>
      <w:r>
        <w:rPr>
          <w:rFonts w:ascii="Arial Unicode MS" w:hAnsi="Arial Unicode MS" w:cs="Arial" w:hint="eastAsia"/>
          <w:szCs w:val="21"/>
        </w:rPr>
        <w:t>21</w:t>
      </w:r>
      <w:r>
        <w:rPr>
          <w:rFonts w:ascii="Arial Unicode MS" w:hAnsi="Arial Unicode MS" w:cs="Arial" w:hint="eastAsia"/>
          <w:szCs w:val="21"/>
        </w:rPr>
        <w:t>世纪经济报道》颁发的“最佳金融服务托管银行”奖，尤其</w:t>
      </w:r>
      <w:r>
        <w:rPr>
          <w:rFonts w:ascii="Arial Unicode MS" w:hAnsi="Arial Unicode MS" w:cs="Arial" w:hint="eastAsia"/>
          <w:szCs w:val="21"/>
        </w:rPr>
        <w:t>2019</w:t>
      </w:r>
      <w:r>
        <w:rPr>
          <w:rFonts w:ascii="Arial Unicode MS" w:hAnsi="Arial Unicode MS" w:cs="Arial" w:hint="eastAsia"/>
          <w:szCs w:val="21"/>
        </w:rPr>
        <w:t>年，获得由金融时报社和国家金融与发展实验室共同评出的“年度最佳托管银行”奖项。</w:t>
      </w:r>
    </w:p>
    <w:p w:rsidR="000E520F" w:rsidRDefault="00D34D5D">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二、基金托管人的内部控制制度</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、内部风险控制目标</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建立完整、严密、高效的风险控制体系，形成科学的决策机制、执行机制和监督机制，防范和化解经营风险，保障资产托管业务的稳健运行和托管财产的安全完整。</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大力培育合规文化，自觉形成守法经营、规范运作的经营思想和经营理念，严格控制合规风险，保证资产托管业务符合国家有关法律法规和行业监管规则。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以相互制衡健全有效的风控组织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、内部风险控制组织结构</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总行高级管理层负责部署全行的风险管理工作。总行风险管理委员会是总行高级管理层下设的风险管理专业委员会，对高级管理层负责，支持高级管理层履行职责。资产托管业务风险控制工作在总行风险管理委员会的统一部署和指导下开展。</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总行各部门紧密配合，共同把控资产托管业务运行中的风险，具体职责与分工如下：总行风险管理部作为总行风险管理委员会秘书机构，是全行风险管理的统筹部门，对资产托管部的风险控制工作进行指导；总行法律事务部负责资产托管业务项下的相关合同、协议等文本的审定；总行内控合规部负责该业务与管理的合规性审查、检查与督导整改；总行审计部对全行托管业务进行内部审计。包括定期内部审计、现场和非现场检查等；总行办公室与资</w:t>
      </w:r>
      <w:r>
        <w:rPr>
          <w:rFonts w:ascii="Arial Unicode MS" w:hAnsi="Arial Unicode MS" w:cs="Arial" w:hint="eastAsia"/>
          <w:szCs w:val="21"/>
        </w:rPr>
        <w:lastRenderedPageBreak/>
        <w:t>产托管部共同制定声誉风险应对预案。按资产托管部需求对由托管业务引发的声誉风险事件进行定向舆情监测，对由托管业务引起的声誉风险进行应急处置，包括与全国性媒体进行沟通、避免负面报道、组织正面回应等。</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、内部风险控制原则</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合法合规原则。风险控制应符合和体现国家法律、法规、规章和各项政策。</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全面性原则。风险控制覆盖托管部的各个业务中心、各个岗位和各级人员，并涵盖资产托管业务各环节。</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有效性原则。资产托管业务从业人员应全力维护内部控制制度的有效执行，任何人都没有超越制度约束的权力。</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预防性原则。必须树立“预防为主”的管理理念，控制资产托管业务中风险发生的源头，防患于未然，尽量避免业务操作中各种问题的产生。</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及时性原则。资产托管业务风险控制制度的制定应当具有前瞻性，并且随着托管部经营战略、经营方针、经营理念等内部环境的变化和国家法律法规、政策制度等外部环境的改变进行及时的修改或完善。发现问题，要及时处理，堵塞漏洞。</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独立性原则。各业务中心、各岗位职能上保持相对独立性。风险监督中心是资产托管部下设的执行机构，不受其他业务中心和个人干涉。业务操作人员和检查人员严格分开，以保证风险控制机构的工作不受干扰。</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相互制约原则。各业务中心、各岗位权责明确，相互牵制，通过切实可行的相互制衡措施来消除风险控制的盲点。</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防火墙原则。托管银行自身财务与托管资产财务严格分开；托管业务日常操作部门与行政、研发和营销等部门隔离。</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、内部风险控制制度和措施</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制度建设：建立了明确的岗位职责、科学的业务流程、详细的操作手册、严格的人员行为规范等一系列规章制度。</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建立健全的组织管理结构：前后台分离，不同部门、岗位相互牵制。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风险识别与评估：风险监督中心指导业务中心进行风险识别、评估，制定并实施风险控制措施。</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相对独立的业务操作空间：业务操作区相对独立，实施门禁管理和音像监控。</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人员管理：进行定期的业务与职业道德培训，使员工树立风险防范与控制理念，并签订承诺书。</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应急预案：制定完备的《应急预案》，并组织员工定期演练；建立异地灾备中心，保证业务不中断。</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、资产托管部内部风险控制</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中国民生银行股份有限公司从控制环境、风险评估、控制活动、信息沟通、监控等五个方面构建了托管业务风险控制体系。</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围内的风险负责。</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建立分工明确、相互牵制的风险控制组织结构。托管部通过建立纵向双人制，横向多中心制的内部组织结构，形成不同中心、不同岗位相互制衡的组织结构。</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制度的执行和监督是风险控制的关键。制度执行比编写制度更重要，制度落实检查是风险控制管理的有力保证。中国民生银行股份有限公司资产托管部内部设置专职风险监督中心，依照有关法律规章，定期对业务的运行进行稽核检查。总行审计部也不定期对资产托管部进行稽核检查。</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rsidR="000E520F" w:rsidRDefault="00D34D5D">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三、基金托管人对基金管理人运作基金进行监督的方法和程序</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0E520F" w:rsidRDefault="00D34D5D">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基金托管人发现基金管理人有重大违规行为，应立即报告中国证监会，同时通知基金管理人限期纠正。</w:t>
      </w: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jc w:val="center"/>
        <w:rPr>
          <w:rFonts w:ascii="Arial Unicode MS" w:hAnsi="Arial Unicode MS" w:cs="Arial"/>
          <w:sz w:val="24"/>
        </w:rPr>
      </w:pPr>
    </w:p>
    <w:p w:rsidR="000E520F" w:rsidRDefault="000E520F">
      <w:pPr>
        <w:spacing w:line="360" w:lineRule="auto"/>
        <w:rPr>
          <w:rFonts w:ascii="Arial Unicode MS" w:hAnsi="Arial Unicode MS" w:cs="Arial"/>
          <w:sz w:val="24"/>
        </w:rPr>
        <w:sectPr w:rsidR="000E520F">
          <w:footerReference w:type="default" r:id="rId25"/>
          <w:footerReference w:type="first" r:id="rId26"/>
          <w:pgSz w:w="11906" w:h="16838"/>
          <w:pgMar w:top="1440" w:right="1800" w:bottom="1440" w:left="1800" w:header="851" w:footer="992" w:gutter="0"/>
          <w:pgNumType w:start="1"/>
          <w:cols w:space="720"/>
          <w:titlePg/>
          <w:docGrid w:linePitch="312"/>
        </w:sectPr>
      </w:pPr>
    </w:p>
    <w:p w:rsidR="000E520F" w:rsidRDefault="000E520F">
      <w:pPr>
        <w:spacing w:line="360" w:lineRule="auto"/>
        <w:rPr>
          <w:rFonts w:ascii="Arial Unicode MS" w:hAnsi="Arial Unicode MS" w:cs="Arial"/>
          <w:sz w:val="24"/>
        </w:rPr>
      </w:pP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25" w:name="_Toc335232693"/>
      <w:bookmarkStart w:id="26" w:name="_Toc429490282"/>
      <w:bookmarkStart w:id="27" w:name="_Toc317088142"/>
      <w:bookmarkStart w:id="28" w:name="_Toc47604309"/>
      <w:bookmarkStart w:id="29" w:name="_Toc47622417"/>
      <w:bookmarkStart w:id="30" w:name="_Toc317088539"/>
      <w:bookmarkStart w:id="31" w:name="_Toc214873594"/>
      <w:bookmarkStart w:id="32" w:name="_Toc320887644"/>
      <w:r>
        <w:rPr>
          <w:rFonts w:ascii="Arial Unicode MS" w:eastAsia="宋体" w:hAnsi="Arial Unicode MS" w:cs="Arial"/>
          <w:b/>
          <w:bCs/>
          <w:sz w:val="28"/>
          <w:szCs w:val="28"/>
        </w:rPr>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5"/>
      <w:bookmarkEnd w:id="26"/>
      <w:bookmarkEnd w:id="27"/>
      <w:bookmarkEnd w:id="28"/>
      <w:bookmarkEnd w:id="29"/>
      <w:bookmarkEnd w:id="30"/>
      <w:bookmarkEnd w:id="31"/>
      <w:bookmarkEnd w:id="32"/>
    </w:p>
    <w:p w:rsidR="000E520F" w:rsidRDefault="000E520F">
      <w:pPr>
        <w:spacing w:line="360" w:lineRule="auto"/>
        <w:rPr>
          <w:rFonts w:ascii="Arial Unicode MS" w:hAnsi="Arial Unicode MS"/>
        </w:rPr>
      </w:pP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rsidR="000E520F" w:rsidRDefault="00D34D5D">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rsidR="000E520F" w:rsidRDefault="00D34D5D">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名称：上海源泰律师事务所</w:t>
      </w:r>
      <w:r>
        <w:rPr>
          <w:rFonts w:ascii="Arial" w:hAnsi="Arial" w:cs="Arial" w:hint="eastAsia"/>
          <w:color w:val="000000"/>
          <w:kern w:val="0"/>
          <w:szCs w:val="21"/>
        </w:rPr>
        <w:t xml:space="preserve">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负责人：廖海</w:t>
      </w:r>
      <w:r>
        <w:rPr>
          <w:rFonts w:ascii="Arial" w:hAnsi="Arial" w:cs="Arial" w:hint="eastAsia"/>
          <w:color w:val="000000"/>
          <w:kern w:val="0"/>
          <w:szCs w:val="21"/>
        </w:rPr>
        <w:t xml:space="preserve">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Pr>
          <w:rFonts w:ascii="Arial" w:hAnsi="Arial" w:cs="Arial" w:hint="eastAsia"/>
          <w:color w:val="000000"/>
          <w:kern w:val="0"/>
          <w:szCs w:val="21"/>
        </w:rPr>
        <w:t xml:space="preserve">021- 51150298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Pr>
          <w:rFonts w:ascii="Arial" w:hAnsi="Arial" w:cs="Arial" w:hint="eastAsia"/>
          <w:color w:val="000000"/>
          <w:kern w:val="0"/>
          <w:szCs w:val="21"/>
        </w:rPr>
        <w:t xml:space="preserve">021- 51150398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联系人：刘佳</w:t>
      </w:r>
      <w:r>
        <w:rPr>
          <w:rFonts w:ascii="Arial" w:hAnsi="Arial" w:cs="Arial" w:hint="eastAsia"/>
          <w:color w:val="000000"/>
          <w:kern w:val="0"/>
          <w:szCs w:val="21"/>
        </w:rPr>
        <w:t xml:space="preserve"> </w:t>
      </w:r>
    </w:p>
    <w:p w:rsidR="000E520F" w:rsidRDefault="00D34D5D">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经办律师：廖海</w:t>
      </w:r>
      <w:r>
        <w:rPr>
          <w:rFonts w:ascii="Arial" w:hAnsi="Arial" w:cs="Arial"/>
          <w:color w:val="000000"/>
          <w:kern w:val="0"/>
          <w:szCs w:val="21"/>
        </w:rPr>
        <w:t>、</w:t>
      </w:r>
      <w:r>
        <w:rPr>
          <w:rFonts w:ascii="Arial" w:hAnsi="Arial" w:cs="Arial" w:hint="eastAsia"/>
          <w:color w:val="000000"/>
          <w:kern w:val="0"/>
          <w:szCs w:val="21"/>
        </w:rPr>
        <w:t>刘佳</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名称：安永华明会计师事务所（特殊普通合伙）</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执行事务合伙人：毛鞍宁</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rsidR="000E520F" w:rsidRDefault="00D34D5D">
      <w:pPr>
        <w:adjustRightInd w:val="0"/>
        <w:snapToGrid w:val="0"/>
        <w:spacing w:line="360" w:lineRule="auto"/>
        <w:ind w:firstLineChars="200" w:firstLine="420"/>
        <w:rPr>
          <w:rFonts w:ascii="Arial Unicode MS" w:hAnsi="Arial Unicode MS" w:cs="Arial"/>
          <w:kern w:val="0"/>
          <w:szCs w:val="21"/>
        </w:rPr>
        <w:sectPr w:rsidR="000E520F">
          <w:footerReference w:type="default" r:id="rId27"/>
          <w:footerReference w:type="first" r:id="rId28"/>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联系人：贺耀</w:t>
      </w: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33" w:name="_Toc21073389"/>
      <w:bookmarkStart w:id="34" w:name="_Toc147463116"/>
      <w:bookmarkStart w:id="35" w:name="_Toc12357169"/>
      <w:bookmarkStart w:id="36" w:name="_Toc214873595"/>
      <w:bookmarkStart w:id="37" w:name="_Toc47604310"/>
      <w:bookmarkStart w:id="38" w:name="_Toc429490283"/>
      <w:bookmarkStart w:id="39" w:name="_Toc320887645"/>
      <w:bookmarkStart w:id="40" w:name="_Toc317088143"/>
      <w:bookmarkStart w:id="41" w:name="_Toc335232694"/>
      <w:bookmarkStart w:id="42" w:name="_Toc317088540"/>
      <w:bookmarkStart w:id="43" w:name="_Toc47622418"/>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3"/>
      <w:bookmarkEnd w:id="34"/>
      <w:bookmarkEnd w:id="35"/>
      <w:r>
        <w:rPr>
          <w:rFonts w:ascii="Arial Unicode MS" w:eastAsia="宋体" w:hAnsi="Arial Unicode MS" w:cs="Arial"/>
          <w:b/>
          <w:bCs/>
          <w:sz w:val="28"/>
          <w:szCs w:val="28"/>
        </w:rPr>
        <w:t>基金份额的发售</w:t>
      </w:r>
      <w:bookmarkEnd w:id="36"/>
      <w:bookmarkEnd w:id="37"/>
      <w:bookmarkEnd w:id="38"/>
      <w:bookmarkEnd w:id="39"/>
      <w:bookmarkEnd w:id="40"/>
      <w:bookmarkEnd w:id="41"/>
      <w:bookmarkEnd w:id="42"/>
      <w:bookmarkEnd w:id="43"/>
    </w:p>
    <w:p w:rsidR="000E520F" w:rsidRDefault="000E520F">
      <w:pPr>
        <w:spacing w:line="360" w:lineRule="auto"/>
        <w:rPr>
          <w:rFonts w:ascii="Arial Unicode MS" w:hAnsi="Arial Unicode MS"/>
        </w:rPr>
      </w:pP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bookmarkStart w:id="44" w:name="_Toc21073390"/>
      <w:bookmarkStart w:id="45" w:name="_Toc12357170"/>
      <w:bookmarkStart w:id="46"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2020</w:t>
      </w:r>
      <w:r>
        <w:rPr>
          <w:rFonts w:ascii="Arial Unicode MS" w:hAnsi="Arial Unicode MS" w:cs="Arial" w:hint="eastAsia"/>
          <w:szCs w:val="21"/>
        </w:rPr>
        <w:t>年</w:t>
      </w:r>
      <w:r w:rsidR="009071EA">
        <w:rPr>
          <w:rFonts w:ascii="Arial Unicode MS" w:hAnsi="Arial Unicode MS" w:cs="Arial" w:hint="eastAsia"/>
          <w:szCs w:val="21"/>
        </w:rPr>
        <w:t>9</w:t>
      </w:r>
      <w:r>
        <w:rPr>
          <w:rFonts w:ascii="Arial Unicode MS" w:hAnsi="Arial Unicode MS" w:cs="Arial" w:hint="eastAsia"/>
          <w:szCs w:val="21"/>
        </w:rPr>
        <w:t>月</w:t>
      </w:r>
      <w:r w:rsidR="009071EA">
        <w:rPr>
          <w:rFonts w:ascii="Arial Unicode MS" w:hAnsi="Arial Unicode MS" w:cs="Arial" w:hint="eastAsia"/>
          <w:szCs w:val="21"/>
        </w:rPr>
        <w:t>28</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w:t>
      </w:r>
      <w:r>
        <w:rPr>
          <w:rFonts w:ascii="Arial Unicode MS" w:hAnsi="Arial Unicode MS" w:cs="Arial" w:hint="eastAsia"/>
          <w:kern w:val="0"/>
          <w:szCs w:val="21"/>
        </w:rPr>
        <w:t>20</w:t>
      </w:r>
      <w:r>
        <w:rPr>
          <w:rFonts w:ascii="Arial Unicode MS" w:hAnsi="Arial Unicode MS" w:cs="Arial"/>
          <w:kern w:val="0"/>
          <w:szCs w:val="21"/>
        </w:rPr>
        <w:t>]</w:t>
      </w:r>
      <w:r w:rsidR="009071EA">
        <w:rPr>
          <w:rFonts w:ascii="Arial Unicode MS" w:hAnsi="Arial Unicode MS" w:cs="Arial" w:hint="eastAsia"/>
          <w:kern w:val="0"/>
          <w:szCs w:val="21"/>
        </w:rPr>
        <w:t>2463</w:t>
      </w:r>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博时港股通领先趋势混合型证券投资基金</w:t>
      </w: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Pr>
          <w:rFonts w:ascii="Arial Unicode MS" w:hAnsi="Arial Unicode MS" w:cs="Arial" w:hint="eastAsia"/>
          <w:bCs/>
          <w:szCs w:val="21"/>
        </w:rPr>
        <w:lastRenderedPageBreak/>
        <w:t>份额持有人大会，但须提前公告。</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rsidR="000E520F" w:rsidRDefault="00D34D5D">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rsidR="000E520F" w:rsidRDefault="00D34D5D">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rsidR="000E520F" w:rsidRDefault="00D34D5D">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八、基金的初始面值、认购价格和认购费用</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、初始面值：人民币</w:t>
      </w:r>
      <w:r>
        <w:rPr>
          <w:rFonts w:ascii="Arial Unicode MS" w:hAnsi="Arial Unicode MS" w:cs="Arial"/>
          <w:szCs w:val="21"/>
        </w:rPr>
        <w:t>1.00</w:t>
      </w:r>
      <w:r>
        <w:rPr>
          <w:rFonts w:ascii="Arial Unicode MS" w:hAnsi="Arial Unicode MS" w:cs="Arial"/>
          <w:szCs w:val="21"/>
        </w:rPr>
        <w:t>元</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rsidR="000E520F" w:rsidRDefault="00D34D5D">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8336" w:type="dxa"/>
        <w:jc w:val="center"/>
        <w:tblLayout w:type="fixed"/>
        <w:tblCellMar>
          <w:left w:w="0" w:type="dxa"/>
          <w:right w:w="0" w:type="dxa"/>
        </w:tblCellMar>
        <w:tblLook w:val="04A0" w:firstRow="1" w:lastRow="0" w:firstColumn="1" w:lastColumn="0" w:noHBand="0" w:noVBand="1"/>
      </w:tblPr>
      <w:tblGrid>
        <w:gridCol w:w="3243"/>
        <w:gridCol w:w="2726"/>
        <w:gridCol w:w="2367"/>
      </w:tblGrid>
      <w:tr w:rsidR="000E520F">
        <w:trPr>
          <w:jc w:val="center"/>
        </w:trPr>
        <w:tc>
          <w:tcPr>
            <w:tcW w:w="3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金额（M）</w:t>
            </w:r>
          </w:p>
        </w:tc>
        <w:tc>
          <w:tcPr>
            <w:tcW w:w="2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Chars="100" w:firstLine="210"/>
              <w:rPr>
                <w:rFonts w:asciiTheme="minorEastAsia" w:eastAsiaTheme="minorEastAsia" w:hAnsiTheme="minorEastAsia" w:cs="宋体"/>
                <w:color w:val="000000"/>
                <w:szCs w:val="21"/>
              </w:rPr>
            </w:pPr>
            <w:r>
              <w:rPr>
                <w:rFonts w:asciiTheme="minorEastAsia" w:eastAsiaTheme="minorEastAsia" w:hAnsiTheme="minorEastAsia" w:hint="eastAsia"/>
                <w:color w:val="000000"/>
              </w:rPr>
              <w:t>A类基金份额认购费率</w:t>
            </w:r>
          </w:p>
        </w:tc>
        <w:tc>
          <w:tcPr>
            <w:tcW w:w="2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rPr>
                <w:rFonts w:asciiTheme="minorEastAsia" w:eastAsiaTheme="minorEastAsia" w:hAnsiTheme="minorEastAsia" w:cs="宋体"/>
                <w:color w:val="000000"/>
                <w:szCs w:val="21"/>
              </w:rPr>
            </w:pPr>
            <w:r>
              <w:rPr>
                <w:rFonts w:asciiTheme="minorEastAsia" w:eastAsiaTheme="minorEastAsia" w:hAnsiTheme="minorEastAsia" w:hint="eastAsia"/>
                <w:color w:val="000000"/>
              </w:rPr>
              <w:t>C类基金份额认购费率</w:t>
            </w:r>
          </w:p>
        </w:tc>
      </w:tr>
      <w:tr w:rsidR="000E520F">
        <w:trPr>
          <w:jc w:val="center"/>
        </w:trPr>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M＜100万元</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1.20%</w:t>
            </w:r>
          </w:p>
        </w:tc>
        <w:tc>
          <w:tcPr>
            <w:tcW w:w="23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0%</w:t>
            </w:r>
          </w:p>
        </w:tc>
      </w:tr>
      <w:tr w:rsidR="000E520F">
        <w:trPr>
          <w:jc w:val="center"/>
        </w:trPr>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100万元≤M＜300万元</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w:t>
            </w:r>
          </w:p>
        </w:tc>
        <w:tc>
          <w:tcPr>
            <w:tcW w:w="2367" w:type="dxa"/>
            <w:vMerge/>
            <w:tcBorders>
              <w:top w:val="nil"/>
              <w:left w:val="nil"/>
              <w:bottom w:val="single" w:sz="8" w:space="0" w:color="auto"/>
              <w:right w:val="single" w:sz="8" w:space="0" w:color="auto"/>
            </w:tcBorders>
            <w:vAlign w:val="center"/>
          </w:tcPr>
          <w:p w:rsidR="000E520F" w:rsidRDefault="000E520F">
            <w:pPr>
              <w:ind w:firstLine="420"/>
              <w:jc w:val="left"/>
              <w:rPr>
                <w:rFonts w:asciiTheme="minorEastAsia" w:eastAsiaTheme="minorEastAsia" w:hAnsiTheme="minorEastAsia" w:cs="宋体"/>
                <w:color w:val="000000"/>
                <w:szCs w:val="21"/>
              </w:rPr>
            </w:pPr>
          </w:p>
        </w:tc>
      </w:tr>
      <w:tr w:rsidR="000E520F">
        <w:trPr>
          <w:jc w:val="center"/>
        </w:trPr>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300万元≤M＜500万元</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0.80%</w:t>
            </w:r>
          </w:p>
        </w:tc>
        <w:tc>
          <w:tcPr>
            <w:tcW w:w="2367" w:type="dxa"/>
            <w:vMerge/>
            <w:tcBorders>
              <w:top w:val="nil"/>
              <w:left w:val="nil"/>
              <w:bottom w:val="single" w:sz="8" w:space="0" w:color="auto"/>
              <w:right w:val="single" w:sz="8" w:space="0" w:color="auto"/>
            </w:tcBorders>
            <w:vAlign w:val="center"/>
          </w:tcPr>
          <w:p w:rsidR="000E520F" w:rsidRDefault="000E520F">
            <w:pPr>
              <w:ind w:firstLine="420"/>
              <w:jc w:val="left"/>
              <w:rPr>
                <w:rFonts w:asciiTheme="minorEastAsia" w:eastAsiaTheme="minorEastAsia" w:hAnsiTheme="minorEastAsia" w:cs="宋体"/>
                <w:color w:val="000000"/>
                <w:szCs w:val="21"/>
              </w:rPr>
            </w:pPr>
          </w:p>
        </w:tc>
      </w:tr>
      <w:tr w:rsidR="000E520F">
        <w:trPr>
          <w:jc w:val="center"/>
        </w:trPr>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M≥500万元</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ind w:firstLine="420"/>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1000元/笔</w:t>
            </w:r>
          </w:p>
        </w:tc>
        <w:tc>
          <w:tcPr>
            <w:tcW w:w="2367" w:type="dxa"/>
            <w:vMerge/>
            <w:tcBorders>
              <w:top w:val="nil"/>
              <w:left w:val="nil"/>
              <w:bottom w:val="single" w:sz="8" w:space="0" w:color="auto"/>
              <w:right w:val="single" w:sz="8" w:space="0" w:color="auto"/>
            </w:tcBorders>
            <w:vAlign w:val="center"/>
          </w:tcPr>
          <w:p w:rsidR="000E520F" w:rsidRDefault="000E520F">
            <w:pPr>
              <w:ind w:firstLine="420"/>
              <w:jc w:val="left"/>
              <w:rPr>
                <w:rFonts w:asciiTheme="minorEastAsia" w:eastAsiaTheme="minorEastAsia" w:hAnsiTheme="minorEastAsia" w:cs="宋体"/>
                <w:color w:val="000000"/>
                <w:szCs w:val="21"/>
              </w:rPr>
            </w:pPr>
          </w:p>
        </w:tc>
      </w:tr>
    </w:tbl>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rsidR="000E520F" w:rsidRDefault="00D34D5D">
      <w:pPr>
        <w:pStyle w:val="a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rsidR="000E520F" w:rsidRDefault="00D34D5D">
      <w:pPr>
        <w:pStyle w:val="a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rsidR="000E520F" w:rsidRDefault="00D34D5D">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cs="Arial"/>
        </w:rPr>
        <w:lastRenderedPageBreak/>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hint="eastAsia"/>
        </w:rPr>
        <w:t>1,000.00</w:t>
      </w:r>
      <w:r>
        <w:rPr>
          <w:rFonts w:ascii="Arial Unicode MS" w:hAnsi="Arial Unicode MS" w:hint="eastAsia"/>
        </w:rPr>
        <w:t>元</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hint="eastAsia"/>
        </w:rPr>
        <w:t>5,500,000</w:t>
      </w:r>
      <w:r>
        <w:rPr>
          <w:rFonts w:ascii="Arial Unicode MS" w:hAnsi="Arial Unicode MS" w:hint="eastAsia"/>
        </w:rPr>
        <w:t>－</w:t>
      </w:r>
      <w:r>
        <w:rPr>
          <w:rFonts w:ascii="Arial Unicode MS" w:hAnsi="Arial Unicode MS" w:hint="eastAsia"/>
        </w:rPr>
        <w:t>1,000</w:t>
      </w:r>
      <w:r>
        <w:rPr>
          <w:rFonts w:ascii="Arial Unicode MS" w:hAnsi="Arial Unicode MS" w:hint="eastAsia"/>
        </w:rPr>
        <w:t>＝</w:t>
      </w:r>
      <w:r>
        <w:rPr>
          <w:rFonts w:ascii="Arial Unicode MS" w:hAnsi="Arial Unicode MS" w:hint="eastAsia"/>
        </w:rPr>
        <w:t>5,499,000.00</w:t>
      </w:r>
      <w:r>
        <w:rPr>
          <w:rFonts w:ascii="Arial Unicode MS" w:hAnsi="Arial Unicode MS" w:hint="eastAsia"/>
        </w:rPr>
        <w:t>元</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hint="eastAsia"/>
        </w:rPr>
        <w:t>5,499,000+550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hint="eastAsia"/>
        </w:rPr>
        <w:t>5,499,550.00</w:t>
      </w:r>
      <w:r>
        <w:rPr>
          <w:rFonts w:ascii="Arial Unicode MS" w:hAnsi="Arial Unicode MS" w:hint="eastAsia"/>
        </w:rPr>
        <w:t>份</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hint="eastAsia"/>
        </w:rPr>
        <w:t>5,499,550.00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5,500,000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5,500,550</w:t>
      </w:r>
      <w:r>
        <w:rPr>
          <w:rFonts w:ascii="Arial Unicode MS" w:hAnsi="Arial Unicode MS" w:hint="eastAsia"/>
        </w:rPr>
        <w:t>.00</w:t>
      </w:r>
      <w:r>
        <w:rPr>
          <w:rFonts w:ascii="Arial Unicode MS" w:hAnsi="Arial Unicode MS" w:hint="eastAsia"/>
        </w:rPr>
        <w:t>份</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5,500,550.00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rsidR="000E520F" w:rsidRDefault="00D34D5D">
      <w:pPr>
        <w:pStyle w:val="afff0"/>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rsidR="000E520F" w:rsidRDefault="00D34D5D">
      <w:pPr>
        <w:pStyle w:val="afff0"/>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rsidR="000E520F" w:rsidRDefault="00D34D5D">
      <w:pPr>
        <w:pStyle w:val="afff0"/>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rsidR="000E520F" w:rsidRDefault="00D34D5D">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类基金份额的认购费按每笔该类基金份额认购申请单独计算，已受理的认购申请不得撤销</w:t>
      </w:r>
      <w:r>
        <w:rPr>
          <w:rFonts w:ascii="Arial Unicode MS" w:hAnsi="Arial Unicode MS" w:cs="Arial"/>
        </w:rPr>
        <w:t>。</w:t>
      </w:r>
    </w:p>
    <w:p w:rsidR="000E520F" w:rsidRDefault="00D34D5D">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rsidR="000E520F" w:rsidRDefault="00D34D5D">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rsidR="000E520F" w:rsidRDefault="00D34D5D">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rsidR="000E520F" w:rsidRDefault="00D34D5D">
      <w:pPr>
        <w:snapToGrid w:val="0"/>
        <w:spacing w:line="360" w:lineRule="auto"/>
        <w:ind w:firstLineChars="200" w:firstLine="422"/>
        <w:rPr>
          <w:rFonts w:ascii="Arial Unicode MS" w:hAnsi="Arial Unicode MS" w:cs="Arial"/>
          <w:b/>
          <w:bCs/>
          <w:color w:val="000000"/>
          <w:kern w:val="0"/>
          <w:szCs w:val="21"/>
        </w:rPr>
      </w:pPr>
      <w:r>
        <w:rPr>
          <w:rFonts w:ascii="Arial Unicode MS" w:hAnsi="Arial Unicode MS" w:cs="Arial" w:hint="eastAsia"/>
          <w:b/>
          <w:bCs/>
          <w:color w:val="000000"/>
          <w:kern w:val="0"/>
          <w:szCs w:val="21"/>
        </w:rPr>
        <w:t>十</w:t>
      </w:r>
      <w:r>
        <w:rPr>
          <w:rFonts w:ascii="Arial Unicode MS" w:hAnsi="Arial Unicode MS" w:cs="Arial"/>
          <w:b/>
          <w:bCs/>
          <w:color w:val="000000"/>
          <w:kern w:val="0"/>
          <w:szCs w:val="21"/>
        </w:rPr>
        <w:t>、</w:t>
      </w:r>
      <w:r>
        <w:rPr>
          <w:rFonts w:ascii="Arial Unicode MS" w:hAnsi="Arial Unicode MS" w:cs="Arial" w:hint="eastAsia"/>
          <w:b/>
          <w:bCs/>
          <w:color w:val="000000"/>
          <w:kern w:val="0"/>
          <w:szCs w:val="21"/>
        </w:rPr>
        <w:t>募集规模上限</w:t>
      </w:r>
    </w:p>
    <w:p w:rsidR="000E520F" w:rsidRDefault="00D34D5D">
      <w:pPr>
        <w:snapToGrid w:val="0"/>
        <w:spacing w:line="360" w:lineRule="auto"/>
        <w:ind w:firstLineChars="200" w:firstLine="420"/>
        <w:rPr>
          <w:rFonts w:ascii="Arial Unicode MS" w:hAnsi="Arial Unicode MS" w:cs="Arial"/>
          <w:bCs/>
          <w:color w:val="000000"/>
          <w:kern w:val="0"/>
          <w:szCs w:val="21"/>
        </w:rPr>
      </w:pPr>
      <w:r>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rsidR="000E520F" w:rsidRDefault="00D34D5D">
      <w:pPr>
        <w:snapToGrid w:val="0"/>
        <w:spacing w:line="360" w:lineRule="auto"/>
        <w:ind w:firstLineChars="200" w:firstLine="422"/>
        <w:rPr>
          <w:rFonts w:ascii="Arial Unicode MS" w:hAnsi="Arial Unicode MS" w:cs="Arial"/>
          <w:b/>
          <w:bCs/>
          <w:kern w:val="0"/>
          <w:szCs w:val="21"/>
        </w:rPr>
        <w:sectPr w:rsidR="000E520F">
          <w:footerReference w:type="default" r:id="rId29"/>
          <w:headerReference w:type="first" r:id="rId30"/>
          <w:footerReference w:type="first" r:id="rId31"/>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47" w:name="_Toc317088541"/>
      <w:bookmarkStart w:id="48" w:name="_Toc317088144"/>
      <w:bookmarkStart w:id="49" w:name="_Toc214873596"/>
      <w:bookmarkStart w:id="50" w:name="_Toc47622419"/>
      <w:bookmarkStart w:id="51" w:name="_Toc335232695"/>
      <w:bookmarkStart w:id="52" w:name="_Toc320887646"/>
      <w:bookmarkStart w:id="53" w:name="_Toc47604311"/>
      <w:bookmarkStart w:id="54" w:name="_Toc429490284"/>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4"/>
      <w:bookmarkEnd w:id="45"/>
      <w:bookmarkEnd w:id="46"/>
      <w:bookmarkEnd w:id="47"/>
      <w:bookmarkEnd w:id="48"/>
      <w:bookmarkEnd w:id="49"/>
      <w:r>
        <w:rPr>
          <w:rFonts w:ascii="Arial Unicode MS" w:eastAsia="宋体" w:hAnsi="Arial Unicode MS" w:cs="Arial" w:hint="eastAsia"/>
          <w:b/>
          <w:bCs/>
          <w:sz w:val="28"/>
          <w:szCs w:val="28"/>
        </w:rPr>
        <w:t>合同的生效</w:t>
      </w:r>
      <w:bookmarkEnd w:id="50"/>
      <w:bookmarkEnd w:id="51"/>
      <w:bookmarkEnd w:id="52"/>
      <w:bookmarkEnd w:id="53"/>
      <w:bookmarkEnd w:id="54"/>
    </w:p>
    <w:p w:rsidR="000E520F" w:rsidRDefault="000E520F">
      <w:pPr>
        <w:spacing w:line="360" w:lineRule="auto"/>
        <w:rPr>
          <w:rFonts w:ascii="Arial Unicode MS" w:hAnsi="Arial Unicode MS"/>
        </w:rPr>
      </w:pPr>
    </w:p>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rsidR="000E520F" w:rsidRDefault="00D34D5D">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rsidR="000E520F" w:rsidRDefault="00D34D5D">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个工作日出现前述情形的，基金合同终止，不需召开基金份额持有人大会。</w:t>
      </w:r>
    </w:p>
    <w:p w:rsidR="000E520F" w:rsidRDefault="00D34D5D">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法律法规或中国证监会另有规定时，从其规定。</w:t>
      </w:r>
    </w:p>
    <w:p w:rsidR="000E520F" w:rsidRDefault="000E520F">
      <w:pPr>
        <w:autoSpaceDE w:val="0"/>
        <w:autoSpaceDN w:val="0"/>
        <w:adjustRightInd w:val="0"/>
        <w:snapToGrid w:val="0"/>
        <w:spacing w:line="360" w:lineRule="auto"/>
        <w:ind w:firstLineChars="200" w:firstLine="420"/>
        <w:rPr>
          <w:rFonts w:ascii="Arial Unicode MS" w:hAnsi="Arial Unicode MS" w:cs="Arial"/>
          <w:szCs w:val="21"/>
        </w:rPr>
      </w:pPr>
    </w:p>
    <w:p w:rsidR="000E520F" w:rsidRDefault="000E520F">
      <w:pPr>
        <w:spacing w:line="360" w:lineRule="auto"/>
        <w:rPr>
          <w:rFonts w:ascii="Arial Unicode MS" w:hAnsi="Arial Unicode MS" w:cs="Arial"/>
          <w:szCs w:val="21"/>
        </w:rPr>
        <w:sectPr w:rsidR="000E520F">
          <w:footerReference w:type="first" r:id="rId32"/>
          <w:pgSz w:w="11906" w:h="16838"/>
          <w:pgMar w:top="1440" w:right="1800" w:bottom="1440" w:left="1800" w:header="851" w:footer="992" w:gutter="0"/>
          <w:pgNumType w:start="1"/>
          <w:cols w:space="720"/>
          <w:titlePg/>
          <w:docGrid w:linePitch="312"/>
        </w:sectPr>
      </w:pPr>
      <w:bookmarkStart w:id="55" w:name="_Toc12357171"/>
      <w:bookmarkStart w:id="56" w:name="_Toc214873597"/>
      <w:bookmarkStart w:id="57" w:name="_Toc21073391"/>
      <w:bookmarkStart w:id="58" w:name="_Toc147463118"/>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59" w:name="_Toc317088542"/>
      <w:bookmarkStart w:id="60" w:name="_Toc47604312"/>
      <w:bookmarkStart w:id="61" w:name="_Toc429490285"/>
      <w:bookmarkStart w:id="62" w:name="_Toc335232696"/>
      <w:bookmarkStart w:id="63" w:name="_Toc317088145"/>
      <w:bookmarkStart w:id="64" w:name="_Toc320887647"/>
      <w:bookmarkStart w:id="65" w:name="_Toc4762242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5"/>
      <w:bookmarkEnd w:id="56"/>
      <w:bookmarkEnd w:id="57"/>
      <w:bookmarkEnd w:id="58"/>
      <w:bookmarkEnd w:id="59"/>
      <w:bookmarkEnd w:id="60"/>
      <w:bookmarkEnd w:id="61"/>
      <w:bookmarkEnd w:id="62"/>
      <w:bookmarkEnd w:id="63"/>
      <w:bookmarkEnd w:id="64"/>
      <w:bookmarkEnd w:id="65"/>
    </w:p>
    <w:p w:rsidR="000E520F" w:rsidRDefault="000E520F">
      <w:pPr>
        <w:spacing w:line="360" w:lineRule="auto"/>
        <w:rPr>
          <w:rFonts w:ascii="Arial Unicode MS" w:hAnsi="Arial Unicode MS"/>
        </w:rPr>
      </w:pPr>
    </w:p>
    <w:p w:rsidR="000E520F" w:rsidRDefault="00D34D5D">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rsidR="000E520F" w:rsidRDefault="00D34D5D">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bookmarkStart w:id="66" w:name="_Toc510842719"/>
      <w:r>
        <w:rPr>
          <w:rFonts w:ascii="Arial Unicode MS" w:hAnsi="Arial Unicode MS" w:cs="Arial" w:hint="eastAsia"/>
          <w:szCs w:val="21"/>
        </w:rPr>
        <w:t>1</w:t>
      </w:r>
      <w:r>
        <w:rPr>
          <w:rFonts w:ascii="Arial Unicode MS" w:hAnsi="Arial Unicode MS" w:cs="Arial" w:hint="eastAsia"/>
          <w:szCs w:val="21"/>
        </w:rPr>
        <w:t>、开放日及开放时间</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基金管理人可根据实际情况依法决定本基金开始办理申购的具体日期，具体业务办理时间在申购开始公告中规定。</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bookmarkEnd w:id="66"/>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2</w:t>
      </w:r>
      <w:r>
        <w:rPr>
          <w:rFonts w:ascii="Arial Unicode MS" w:hAnsi="Arial Unicode MS" w:cs="Arial" w:hint="eastAsia"/>
          <w:bCs/>
          <w:szCs w:val="21"/>
        </w:rPr>
        <w:t>、“金额申购、份额赎回”原则，即申购以金额申请，赎回以份额申请；</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rsidR="000E520F" w:rsidRDefault="00D34D5D">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、投资人通过销售机构赎回基金份额时，本基金单笔某一类基金份额赎回申请不得低于</w:t>
      </w:r>
      <w:r>
        <w:rPr>
          <w:rFonts w:ascii="Arial Unicode MS" w:hAnsi="Arial Unicode MS" w:cs="Arial" w:hint="eastAsia"/>
          <w:bCs/>
          <w:szCs w:val="21"/>
        </w:rPr>
        <w:t>10</w:t>
      </w:r>
      <w:r>
        <w:rPr>
          <w:rFonts w:ascii="Arial Unicode MS" w:hAnsi="Arial Unicode MS" w:cs="Arial" w:hint="eastAsia"/>
          <w:bCs/>
          <w:szCs w:val="21"/>
        </w:rPr>
        <w:t>份，若投资者单个交易账户持有的某类基金份额余额不足</w:t>
      </w:r>
      <w:r>
        <w:rPr>
          <w:rFonts w:ascii="Arial Unicode MS" w:hAnsi="Arial Unicode MS" w:cs="Arial" w:hint="eastAsia"/>
          <w:bCs/>
          <w:szCs w:val="21"/>
        </w:rPr>
        <w:t>10</w:t>
      </w:r>
      <w:r>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E520F" w:rsidRDefault="00D34D5D">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w:t>
      </w:r>
      <w:r>
        <w:rPr>
          <w:rFonts w:ascii="Arial Unicode MS" w:hAnsi="Arial Unicode MS" w:hint="eastAsia"/>
          <w:bCs/>
          <w:szCs w:val="21"/>
        </w:rPr>
        <w:lastRenderedPageBreak/>
        <w:t>的申请。</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内支付赎回款项。在发生巨额赎回或基金合同约定的其他暂停赎回或延缓支付赎回款项的情形时，款项的支付办法参照基金合同有关条款处理。</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rsidR="000E520F" w:rsidRDefault="00D34D5D">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rsidR="000E520F" w:rsidRDefault="00D34D5D">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rsidR="000E520F" w:rsidRDefault="00D34D5D">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8229" w:type="dxa"/>
        <w:jc w:val="center"/>
        <w:tblLayout w:type="fixed"/>
        <w:tblCellMar>
          <w:left w:w="0" w:type="dxa"/>
          <w:right w:w="0" w:type="dxa"/>
        </w:tblCellMar>
        <w:tblLook w:val="04A0" w:firstRow="1" w:lastRow="0" w:firstColumn="1" w:lastColumn="0" w:noHBand="0" w:noVBand="1"/>
      </w:tblPr>
      <w:tblGrid>
        <w:gridCol w:w="3570"/>
        <w:gridCol w:w="2250"/>
        <w:gridCol w:w="2409"/>
      </w:tblGrid>
      <w:tr w:rsidR="000E520F">
        <w:trPr>
          <w:jc w:val="center"/>
        </w:trPr>
        <w:tc>
          <w:tcPr>
            <w:tcW w:w="3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金额（M）</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A类基金份额申购费率</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C类基金份额申购费率</w:t>
            </w:r>
          </w:p>
        </w:tc>
      </w:tr>
      <w:tr w:rsidR="000E520F">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M＜100万元</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1.50%</w:t>
            </w:r>
          </w:p>
        </w:tc>
        <w:tc>
          <w:tcPr>
            <w:tcW w:w="24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0%</w:t>
            </w:r>
          </w:p>
        </w:tc>
      </w:tr>
      <w:tr w:rsidR="000E520F">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100万元≤M＜300万元</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1.20%</w:t>
            </w:r>
          </w:p>
        </w:tc>
        <w:tc>
          <w:tcPr>
            <w:tcW w:w="2409" w:type="dxa"/>
            <w:vMerge/>
            <w:tcBorders>
              <w:top w:val="nil"/>
              <w:left w:val="nil"/>
              <w:bottom w:val="single" w:sz="8" w:space="0" w:color="auto"/>
              <w:right w:val="single" w:sz="8" w:space="0" w:color="auto"/>
            </w:tcBorders>
            <w:vAlign w:val="center"/>
          </w:tcPr>
          <w:p w:rsidR="000E520F" w:rsidRDefault="000E520F">
            <w:pPr>
              <w:jc w:val="left"/>
              <w:rPr>
                <w:rFonts w:asciiTheme="minorEastAsia" w:eastAsiaTheme="minorEastAsia" w:hAnsiTheme="minorEastAsia" w:cs="宋体"/>
                <w:color w:val="000000"/>
                <w:szCs w:val="21"/>
              </w:rPr>
            </w:pPr>
          </w:p>
        </w:tc>
      </w:tr>
      <w:tr w:rsidR="000E520F">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300万元≤M＜500万元</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w:t>
            </w:r>
          </w:p>
        </w:tc>
        <w:tc>
          <w:tcPr>
            <w:tcW w:w="2409" w:type="dxa"/>
            <w:vMerge/>
            <w:tcBorders>
              <w:top w:val="nil"/>
              <w:left w:val="nil"/>
              <w:bottom w:val="single" w:sz="8" w:space="0" w:color="auto"/>
              <w:right w:val="single" w:sz="8" w:space="0" w:color="auto"/>
            </w:tcBorders>
            <w:vAlign w:val="center"/>
          </w:tcPr>
          <w:p w:rsidR="000E520F" w:rsidRDefault="000E520F">
            <w:pPr>
              <w:jc w:val="left"/>
              <w:rPr>
                <w:rFonts w:asciiTheme="minorEastAsia" w:eastAsiaTheme="minorEastAsia" w:hAnsiTheme="minorEastAsia" w:cs="宋体"/>
                <w:color w:val="000000"/>
                <w:szCs w:val="21"/>
              </w:rPr>
            </w:pPr>
          </w:p>
        </w:tc>
      </w:tr>
      <w:tr w:rsidR="000E520F">
        <w:trPr>
          <w:jc w:val="center"/>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M≥500万元</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520F" w:rsidRDefault="00D34D5D">
            <w:pPr>
              <w:spacing w:line="276"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rPr>
              <w:t>1000元/笔</w:t>
            </w:r>
          </w:p>
        </w:tc>
        <w:tc>
          <w:tcPr>
            <w:tcW w:w="2409" w:type="dxa"/>
            <w:vMerge/>
            <w:tcBorders>
              <w:top w:val="nil"/>
              <w:left w:val="nil"/>
              <w:bottom w:val="single" w:sz="8" w:space="0" w:color="auto"/>
              <w:right w:val="single" w:sz="8" w:space="0" w:color="auto"/>
            </w:tcBorders>
            <w:vAlign w:val="center"/>
          </w:tcPr>
          <w:p w:rsidR="000E520F" w:rsidRDefault="000E520F">
            <w:pPr>
              <w:jc w:val="left"/>
              <w:rPr>
                <w:rFonts w:asciiTheme="minorEastAsia" w:eastAsiaTheme="minorEastAsia" w:hAnsiTheme="minorEastAsia" w:cs="宋体"/>
                <w:color w:val="000000"/>
                <w:szCs w:val="21"/>
              </w:rPr>
            </w:pPr>
          </w:p>
        </w:tc>
      </w:tr>
    </w:tbl>
    <w:p w:rsidR="000E520F" w:rsidRDefault="00D34D5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szCs w:val="21"/>
        </w:rPr>
        <w:t>基金份额的申购费用由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w:t>
      </w:r>
      <w:r>
        <w:rPr>
          <w:rFonts w:ascii="Arial Unicode MS" w:hAnsi="Arial Unicode MS" w:cs="Arial"/>
          <w:szCs w:val="21"/>
        </w:rPr>
        <w:lastRenderedPageBreak/>
        <w:t>登记等各项费用，不列入基金财产。</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rsidR="000E520F" w:rsidRDefault="00D34D5D">
      <w:pPr>
        <w:ind w:firstLineChars="1150" w:firstLine="2415"/>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2"/>
        <w:gridCol w:w="1701"/>
        <w:gridCol w:w="2468"/>
      </w:tblGrid>
      <w:tr w:rsidR="000E520F">
        <w:trPr>
          <w:trHeight w:val="20"/>
          <w:jc w:val="center"/>
        </w:trPr>
        <w:tc>
          <w:tcPr>
            <w:tcW w:w="3992"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持有期限（N）</w:t>
            </w:r>
          </w:p>
        </w:tc>
        <w:tc>
          <w:tcPr>
            <w:tcW w:w="1701"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A类基金份额赎回费率</w:t>
            </w:r>
          </w:p>
        </w:tc>
        <w:tc>
          <w:tcPr>
            <w:tcW w:w="2468"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C类基金份额赎回费率</w:t>
            </w:r>
          </w:p>
        </w:tc>
      </w:tr>
      <w:tr w:rsidR="000E520F">
        <w:trPr>
          <w:trHeight w:val="20"/>
          <w:jc w:val="center"/>
        </w:trPr>
        <w:tc>
          <w:tcPr>
            <w:tcW w:w="3992"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N＜7日</w:t>
            </w:r>
          </w:p>
        </w:tc>
        <w:tc>
          <w:tcPr>
            <w:tcW w:w="1701"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1.50%</w:t>
            </w:r>
          </w:p>
        </w:tc>
        <w:tc>
          <w:tcPr>
            <w:tcW w:w="2468"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1.50%</w:t>
            </w:r>
          </w:p>
        </w:tc>
      </w:tr>
      <w:tr w:rsidR="000E520F">
        <w:trPr>
          <w:trHeight w:val="20"/>
          <w:jc w:val="center"/>
        </w:trPr>
        <w:tc>
          <w:tcPr>
            <w:tcW w:w="3992"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7日≤N＜30日</w:t>
            </w:r>
          </w:p>
        </w:tc>
        <w:tc>
          <w:tcPr>
            <w:tcW w:w="1701"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0.75%</w:t>
            </w:r>
          </w:p>
        </w:tc>
        <w:tc>
          <w:tcPr>
            <w:tcW w:w="2468"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0.50%</w:t>
            </w:r>
          </w:p>
        </w:tc>
      </w:tr>
      <w:tr w:rsidR="000E520F">
        <w:trPr>
          <w:trHeight w:val="20"/>
          <w:jc w:val="center"/>
        </w:trPr>
        <w:tc>
          <w:tcPr>
            <w:tcW w:w="3992"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30日≤N＜6个月</w:t>
            </w:r>
          </w:p>
        </w:tc>
        <w:tc>
          <w:tcPr>
            <w:tcW w:w="1701"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0.50%</w:t>
            </w:r>
          </w:p>
        </w:tc>
        <w:tc>
          <w:tcPr>
            <w:tcW w:w="2468" w:type="dxa"/>
            <w:vMerge w:val="restart"/>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0.00%</w:t>
            </w:r>
          </w:p>
        </w:tc>
      </w:tr>
      <w:tr w:rsidR="000E520F">
        <w:trPr>
          <w:trHeight w:val="20"/>
          <w:jc w:val="center"/>
        </w:trPr>
        <w:tc>
          <w:tcPr>
            <w:tcW w:w="3992"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N≥6个月</w:t>
            </w:r>
          </w:p>
        </w:tc>
        <w:tc>
          <w:tcPr>
            <w:tcW w:w="1701" w:type="dxa"/>
            <w:tcMar>
              <w:top w:w="0" w:type="dxa"/>
              <w:left w:w="108" w:type="dxa"/>
              <w:bottom w:w="0" w:type="dxa"/>
              <w:right w:w="108" w:type="dxa"/>
            </w:tcMar>
            <w:vAlign w:val="center"/>
          </w:tcPr>
          <w:p w:rsidR="000E520F" w:rsidRDefault="00D34D5D">
            <w:pPr>
              <w:spacing w:line="20" w:lineRule="atLeast"/>
              <w:jc w:val="center"/>
              <w:rPr>
                <w:rFonts w:asciiTheme="minorEastAsia" w:eastAsiaTheme="minorEastAsia" w:hAnsiTheme="minorEastAsia" w:cs="宋体"/>
                <w:szCs w:val="21"/>
              </w:rPr>
            </w:pPr>
            <w:r>
              <w:rPr>
                <w:rFonts w:asciiTheme="minorEastAsia" w:eastAsiaTheme="minorEastAsia" w:hAnsiTheme="minorEastAsia" w:hint="eastAsia"/>
              </w:rPr>
              <w:t>0.00%</w:t>
            </w:r>
          </w:p>
        </w:tc>
        <w:tc>
          <w:tcPr>
            <w:tcW w:w="2468" w:type="dxa"/>
            <w:vMerge/>
            <w:vAlign w:val="center"/>
          </w:tcPr>
          <w:p w:rsidR="000E520F" w:rsidRDefault="000E520F">
            <w:pPr>
              <w:jc w:val="left"/>
              <w:rPr>
                <w:rFonts w:asciiTheme="minorEastAsia" w:eastAsiaTheme="minorEastAsia" w:hAnsiTheme="minorEastAsia" w:cs="宋体"/>
                <w:szCs w:val="21"/>
              </w:rPr>
            </w:pPr>
          </w:p>
        </w:tc>
      </w:tr>
    </w:tbl>
    <w:p w:rsidR="000E520F" w:rsidRDefault="000E520F">
      <w:pPr>
        <w:spacing w:line="360" w:lineRule="auto"/>
        <w:rPr>
          <w:color w:val="000000"/>
          <w:szCs w:val="21"/>
        </w:rPr>
      </w:pPr>
    </w:p>
    <w:p w:rsidR="000E520F" w:rsidRDefault="00D34D5D">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本基金赎回费用由赎回基金份额的基金份额持有人承担。本基金的赎回费用在投资者赎回本基金份额时收取，扣除用于市场推广、登记费和其他手续费后的余额归入基金财产。对于A类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w:t>
      </w:r>
    </w:p>
    <w:p w:rsidR="000E520F" w:rsidRDefault="00D34D5D">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rsidR="000E520F" w:rsidRDefault="00D34D5D">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5,999,000/1.0560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w:t>
      </w:r>
      <w:r>
        <w:rPr>
          <w:rFonts w:ascii="Arial Unicode MS" w:hAnsi="Arial Unicode MS" w:cs="Arial"/>
          <w:szCs w:val="21"/>
        </w:rPr>
        <w:t>基金合同约定</w:t>
      </w:r>
      <w:r>
        <w:rPr>
          <w:rFonts w:ascii="Arial Unicode MS" w:hAnsi="Arial Unicode MS" w:cs="Arial" w:hint="eastAsia"/>
          <w:szCs w:val="21"/>
        </w:rPr>
        <w:t>公告。遇特殊情况，经履行适当程序，可以适当延迟计算或公告。</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rsidR="000E520F" w:rsidRDefault="00D34D5D">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w:t>
      </w:r>
      <w:r>
        <w:rPr>
          <w:rFonts w:ascii="Arial Unicode MS" w:hAnsi="Arial Unicode MS" w:cs="Arial" w:hint="eastAsia"/>
          <w:szCs w:val="21"/>
        </w:rPr>
        <w:lastRenderedPageBreak/>
        <w:t>实质影响投资者的合法权益，并最迟于开始实施前依照《信息披露办法》的有关规定进行公告。</w:t>
      </w:r>
    </w:p>
    <w:p w:rsidR="000E520F" w:rsidRDefault="00D34D5D">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rsidR="000E520F" w:rsidRDefault="00D34D5D">
      <w:pPr>
        <w:adjustRightInd w:val="0"/>
        <w:snapToGrid w:val="0"/>
        <w:spacing w:line="360" w:lineRule="auto"/>
        <w:ind w:firstLineChars="200" w:firstLine="420"/>
        <w:rPr>
          <w:rFonts w:ascii="Arial Unicode MS" w:hAnsi="Arial Unicode MS" w:cs="Arial"/>
          <w:bCs/>
          <w:szCs w:val="21"/>
        </w:rPr>
      </w:pPr>
      <w:bookmarkStart w:id="67" w:name="_Hlt70481650"/>
      <w:bookmarkEnd w:id="67"/>
      <w:r>
        <w:rPr>
          <w:rFonts w:ascii="Arial Unicode MS" w:hAnsi="Arial Unicode MS" w:cs="Arial" w:hint="eastAsia"/>
          <w:bCs/>
          <w:szCs w:val="21"/>
        </w:rPr>
        <w:t>发生下列情况时，基金管理人可拒绝或暂停接受投资人的申购申请：</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、证券、期货交易所或外汇市场交易时间非正常停市，导致基金管理人无法计算当日基金资产净值。</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、证券、期货交易所或外汇市场交易时间非正常停市，导致基金管理人无法计算当日</w:t>
      </w:r>
      <w:r>
        <w:rPr>
          <w:rFonts w:ascii="Arial Unicode MS" w:hAnsi="Arial Unicode MS" w:hint="eastAsia"/>
          <w:bCs/>
          <w:szCs w:val="21"/>
        </w:rPr>
        <w:lastRenderedPageBreak/>
        <w:t>基金资产净值。</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超过前一工作日的基金总份额的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Pr>
          <w:rFonts w:ascii="Arial Unicode MS" w:hAnsi="Arial Unicode MS" w:hint="eastAsia"/>
          <w:bCs/>
          <w:szCs w:val="21"/>
        </w:rPr>
        <w:lastRenderedPageBreak/>
        <w:t>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）本基金发生巨额赎回时，对于单个基金份额持有人当日赎回申请超过上一工作日基金总份额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个工作日各类基金份额净值。</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rsidR="000E520F" w:rsidRDefault="00D34D5D">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rsidR="000E520F" w:rsidRDefault="00D34D5D">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十九、实施侧袋机制期间本基金的申购与赎回</w:t>
      </w:r>
    </w:p>
    <w:p w:rsidR="000E520F" w:rsidRDefault="00D34D5D">
      <w:pPr>
        <w:autoSpaceDE w:val="0"/>
        <w:autoSpaceDN w:val="0"/>
        <w:adjustRightInd w:val="0"/>
        <w:spacing w:line="360" w:lineRule="auto"/>
        <w:ind w:firstLine="420"/>
        <w:jc w:val="left"/>
        <w:rPr>
          <w:rFonts w:ascii="宋体" w:hAnsi="宋体"/>
          <w:b/>
          <w:bCs/>
          <w:szCs w:val="21"/>
        </w:rPr>
      </w:pPr>
      <w:r>
        <w:rPr>
          <w:rFonts w:ascii="宋体" w:hAnsi="宋体" w:hint="eastAsia"/>
          <w:bCs/>
          <w:szCs w:val="21"/>
        </w:rPr>
        <w:t>本基金实施侧袋机制的，本基金的申购和赎回安排详见本招募说明书“侧袋机制”章节或相关公告。</w:t>
      </w:r>
    </w:p>
    <w:p w:rsidR="000E520F" w:rsidRDefault="000E520F">
      <w:pPr>
        <w:autoSpaceDE w:val="0"/>
        <w:autoSpaceDN w:val="0"/>
        <w:adjustRightInd w:val="0"/>
        <w:spacing w:line="360" w:lineRule="auto"/>
        <w:ind w:firstLine="420"/>
        <w:jc w:val="left"/>
        <w:rPr>
          <w:rFonts w:ascii="Arial Unicode MS" w:hAnsi="Arial Unicode MS"/>
          <w:b/>
          <w:bCs/>
          <w:szCs w:val="21"/>
        </w:rPr>
        <w:sectPr w:rsidR="000E520F">
          <w:footerReference w:type="default" r:id="rId33"/>
          <w:footerReference w:type="first" r:id="rId34"/>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68" w:name="_Toc47622421"/>
      <w:bookmarkStart w:id="69" w:name="_Toc320887648"/>
      <w:bookmarkStart w:id="70" w:name="_Toc47604313"/>
      <w:bookmarkStart w:id="71" w:name="_Toc317088146"/>
      <w:bookmarkStart w:id="72" w:name="_Toc429490286"/>
      <w:bookmarkStart w:id="73" w:name="_Toc335232697"/>
      <w:bookmarkStart w:id="74" w:name="_Toc317088543"/>
      <w:bookmarkStart w:id="75" w:name="_Toc214873598"/>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68"/>
      <w:bookmarkEnd w:id="69"/>
      <w:bookmarkEnd w:id="70"/>
      <w:bookmarkEnd w:id="71"/>
      <w:bookmarkEnd w:id="72"/>
      <w:bookmarkEnd w:id="73"/>
      <w:bookmarkEnd w:id="74"/>
      <w:bookmarkEnd w:id="75"/>
    </w:p>
    <w:p w:rsidR="000E520F" w:rsidRDefault="000E520F">
      <w:pPr>
        <w:spacing w:line="360" w:lineRule="auto"/>
        <w:rPr>
          <w:rFonts w:ascii="Arial Unicode MS" w:hAnsi="Arial Unicode MS"/>
          <w:szCs w:val="21"/>
        </w:rPr>
      </w:pP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rsidR="000E520F" w:rsidRDefault="00D34D5D">
      <w:pPr>
        <w:spacing w:line="360" w:lineRule="auto"/>
        <w:ind w:firstLineChars="200" w:firstLine="420"/>
        <w:rPr>
          <w:bCs/>
          <w:color w:val="000000"/>
          <w:szCs w:val="21"/>
        </w:rPr>
      </w:pPr>
      <w:r>
        <w:rPr>
          <w:rFonts w:hint="eastAsia"/>
          <w:bCs/>
          <w:color w:val="000000"/>
          <w:szCs w:val="21"/>
        </w:rPr>
        <w:t>基于深入研究的基础上，从具备领先趋势的行业中精选个股进行投资，在严格控制风险的前提下，追求超越业绩比较基准的投资回报。</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rsidR="000E520F" w:rsidRDefault="00D34D5D">
      <w:pPr>
        <w:snapToGrid w:val="0"/>
        <w:spacing w:line="360" w:lineRule="auto"/>
        <w:ind w:firstLineChars="200" w:firstLine="420"/>
        <w:rPr>
          <w:bCs/>
          <w:szCs w:val="21"/>
        </w:rPr>
      </w:pPr>
      <w:r>
        <w:rPr>
          <w:rFonts w:hint="eastAsia"/>
          <w:bCs/>
          <w:szCs w:val="21"/>
        </w:rPr>
        <w:t>本基金的投资范围主要为具有良好流动性的金融工具，包括依法发行上市的股票（包括中小板、创业板及其他经中国证监会核准或注册上市的股票、港股通机制下允许投资的香港联合交易所上市的股票（以下简称“港股通标的股票”））、债券（包括国债、金融债、企业债、公司债、地方政府债、政府支持机构债券、可转换债券（含分离交易可转债的</w:t>
      </w:r>
      <w:r>
        <w:rPr>
          <w:bCs/>
          <w:szCs w:val="21"/>
        </w:rPr>
        <w:t>纯债部分</w:t>
      </w:r>
      <w:r>
        <w:rPr>
          <w:rFonts w:hint="eastAsia"/>
          <w:bCs/>
          <w:szCs w:val="21"/>
        </w:rPr>
        <w:t>）、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rsidR="000E520F" w:rsidRDefault="00D34D5D">
      <w:pPr>
        <w:snapToGrid w:val="0"/>
        <w:spacing w:line="360" w:lineRule="auto"/>
        <w:ind w:firstLineChars="200" w:firstLine="420"/>
        <w:rPr>
          <w:bCs/>
          <w:szCs w:val="21"/>
        </w:rPr>
      </w:pPr>
      <w:r>
        <w:rPr>
          <w:rFonts w:hint="eastAsia"/>
          <w:bCs/>
          <w:szCs w:val="21"/>
        </w:rPr>
        <w:t>本基金可根据相关法律法规和基金合同的约定参与融资业务。</w:t>
      </w:r>
    </w:p>
    <w:p w:rsidR="000E520F" w:rsidRDefault="00D34D5D">
      <w:pPr>
        <w:snapToGrid w:val="0"/>
        <w:spacing w:line="360" w:lineRule="auto"/>
        <w:ind w:firstLineChars="200" w:firstLine="420"/>
        <w:rPr>
          <w:bCs/>
          <w:szCs w:val="21"/>
        </w:rPr>
      </w:pPr>
      <w:r>
        <w:rPr>
          <w:rFonts w:hint="eastAsia"/>
          <w:bCs/>
          <w:szCs w:val="21"/>
        </w:rPr>
        <w:t>如法律法规或中国证监会以后允许基金投资其他品种，本基金管理人在履行适当程序后，可以将其纳入本基金的投资范围。</w:t>
      </w:r>
    </w:p>
    <w:p w:rsidR="000E520F" w:rsidRDefault="00D34D5D">
      <w:pPr>
        <w:snapToGrid w:val="0"/>
        <w:spacing w:line="360" w:lineRule="auto"/>
        <w:ind w:firstLineChars="200" w:firstLine="420"/>
        <w:rPr>
          <w:bCs/>
          <w:szCs w:val="21"/>
        </w:rPr>
      </w:pPr>
      <w:r>
        <w:rPr>
          <w:rFonts w:hint="eastAsia"/>
          <w:bCs/>
          <w:szCs w:val="21"/>
        </w:rPr>
        <w:t>本基金的投资组合比例为：本基金的股票资产占基金资产的</w:t>
      </w:r>
      <w:r>
        <w:rPr>
          <w:rFonts w:hint="eastAsia"/>
          <w:bCs/>
          <w:szCs w:val="21"/>
        </w:rPr>
        <w:t>60%-95%</w:t>
      </w:r>
      <w:r>
        <w:rPr>
          <w:rFonts w:hint="eastAsia"/>
          <w:bCs/>
          <w:szCs w:val="21"/>
        </w:rPr>
        <w:t>，投资于港股通标的股票的比例不低于非现金基金资产的</w:t>
      </w:r>
      <w:r>
        <w:rPr>
          <w:rFonts w:hint="eastAsia"/>
          <w:bCs/>
          <w:szCs w:val="21"/>
        </w:rPr>
        <w:t>80%</w:t>
      </w:r>
      <w:r>
        <w:rPr>
          <w:rFonts w:hint="eastAsia"/>
          <w:bCs/>
          <w:szCs w:val="21"/>
        </w:rPr>
        <w:t>。其中，投资于本基金界定的领先趋势主题相关证券的比例不低于非现金基金资产的</w:t>
      </w:r>
      <w:r>
        <w:rPr>
          <w:rFonts w:hint="eastAsia"/>
          <w:bCs/>
          <w:szCs w:val="21"/>
        </w:rPr>
        <w:t>80%</w:t>
      </w:r>
      <w:r>
        <w:rPr>
          <w:rFonts w:hint="eastAsia"/>
          <w:bCs/>
          <w:szCs w:val="21"/>
        </w:rPr>
        <w:t>。每个交易日日终在扣除股指期货合约、股票期权合约、国债期货合约所需缴纳的交易保证金后，现金或到期日在一年以内的政府债券不低于基金资产净值的</w:t>
      </w:r>
      <w:r>
        <w:rPr>
          <w:rFonts w:hint="eastAsia"/>
          <w:bCs/>
          <w:szCs w:val="21"/>
        </w:rPr>
        <w:t>5%</w:t>
      </w:r>
      <w:r>
        <w:rPr>
          <w:rFonts w:hint="eastAsia"/>
          <w:bCs/>
          <w:szCs w:val="21"/>
        </w:rPr>
        <w:t>。前述现金不包括结算备付金、存出保证金、应收申购款等。</w:t>
      </w:r>
    </w:p>
    <w:p w:rsidR="000E520F" w:rsidRDefault="00D34D5D">
      <w:pPr>
        <w:snapToGrid w:val="0"/>
        <w:spacing w:line="360" w:lineRule="auto"/>
        <w:ind w:firstLineChars="200" w:firstLine="420"/>
        <w:rPr>
          <w:bCs/>
          <w:szCs w:val="21"/>
        </w:rPr>
      </w:pPr>
      <w:r>
        <w:rPr>
          <w:rFonts w:hint="eastAsia"/>
          <w:bCs/>
          <w:szCs w:val="21"/>
        </w:rPr>
        <w:t>若法律法规的相关规定发生变更或监管机构允许，本基金管理人在履行适当程序后，可对上述资产配置比例进行调整。</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rsidR="000E520F" w:rsidRDefault="00D34D5D">
      <w:pPr>
        <w:spacing w:line="360" w:lineRule="auto"/>
        <w:ind w:firstLineChars="200" w:firstLine="420"/>
        <w:rPr>
          <w:rFonts w:ascii="宋体" w:hAnsi="宋体"/>
          <w:bCs/>
          <w:szCs w:val="21"/>
        </w:rPr>
      </w:pPr>
      <w:bookmarkStart w:id="76" w:name="_Toc148867251"/>
      <w:bookmarkStart w:id="77" w:name="_Toc149105517"/>
      <w:bookmarkStart w:id="78" w:name="_Toc212891567"/>
      <w:r>
        <w:rPr>
          <w:rFonts w:ascii="宋体" w:hAnsi="宋体" w:hint="eastAsia"/>
          <w:bCs/>
          <w:szCs w:val="21"/>
        </w:rPr>
        <w:t>（一）资产配置策略</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本基金通过跟踪考量宏观经济变量（包括GDP增长率、CPI走势、M2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1、境内投资策略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本基金的资产配置策略主要是基于对宏观经济周期运行规律的研究予以决策。在经济周期各阶段，综合对各类宏观经济指标和市场指标的分析，本基金对境内大类资产进行配置的</w:t>
      </w:r>
      <w:r>
        <w:rPr>
          <w:rFonts w:ascii="宋体" w:hAnsi="宋体" w:hint="eastAsia"/>
          <w:bCs/>
          <w:szCs w:val="21"/>
        </w:rPr>
        <w:lastRenderedPageBreak/>
        <w:t>策略为：在经济复苏期和繁荣期超配股票资产；在经济衰退期和政策刺激阶段，超配债券等固定收益类资产，力争通过资产配置获得部分超额收益。</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2、港股投资策略</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本基金将充分挖掘内地与香港股票市场交易互联互通、资金双向流动机制下A股市场和港股市场的投资机会。具体投资策略如下：</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第一，通过自主开发的针对港股的以基本面因子为主导的多因子量化模型，以港股通标的股票为选股池，根据市场流动性和产品规模等实际需求选择因子打分高的标的构建港股通量化优选组合。</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第二，对于两地同时上市的公司，考察其折溢价水平，寻找相对于A股有异常折价或估值和波动性相对于A股更加稳定的H股标的。</w:t>
      </w:r>
    </w:p>
    <w:p w:rsidR="000E520F" w:rsidRDefault="00D34D5D">
      <w:pPr>
        <w:snapToGrid w:val="0"/>
        <w:spacing w:line="360" w:lineRule="auto"/>
        <w:ind w:firstLineChars="200" w:firstLine="420"/>
        <w:rPr>
          <w:rFonts w:ascii="宋体" w:hAnsi="宋体"/>
          <w:bCs/>
          <w:szCs w:val="21"/>
        </w:rPr>
      </w:pPr>
      <w:r>
        <w:rPr>
          <w:rFonts w:ascii="宋体" w:hAnsi="宋体" w:hint="eastAsia"/>
          <w:bCs/>
          <w:szCs w:val="21"/>
        </w:rPr>
        <w:t>第三，考察港股通标的股票的行业属性和商业模式，在A股暂时无相应标的的行业中寻找估值低且具有成长性的标的。</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本基金将持续追踪A股市场和港股市场的相对估值和市场情况，适时调整组合中港股通标的</w:t>
      </w:r>
      <w:r>
        <w:rPr>
          <w:rFonts w:ascii="宋体" w:hAnsi="宋体"/>
          <w:bCs/>
          <w:szCs w:val="21"/>
        </w:rPr>
        <w:t>股票</w:t>
      </w:r>
      <w:r>
        <w:rPr>
          <w:rFonts w:ascii="宋体" w:hAnsi="宋体" w:hint="eastAsia"/>
          <w:bCs/>
          <w:szCs w:val="21"/>
        </w:rPr>
        <w:t>的投资比例。</w:t>
      </w:r>
    </w:p>
    <w:p w:rsidR="000E520F" w:rsidRDefault="00D34D5D">
      <w:pPr>
        <w:spacing w:line="360" w:lineRule="auto"/>
        <w:ind w:firstLineChars="200" w:firstLine="420"/>
        <w:rPr>
          <w:rFonts w:ascii="宋体" w:hAnsi="宋体"/>
          <w:bCs/>
          <w:szCs w:val="21"/>
        </w:rPr>
      </w:pPr>
      <w:r>
        <w:rPr>
          <w:rFonts w:ascii="宋体" w:hAnsi="宋体" w:hint="eastAsia"/>
          <w:bCs/>
          <w:szCs w:val="21"/>
        </w:rPr>
        <w:t>（二）股票投资策略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1、领先趋势主题投资策略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采用主题投资策略，通过持续跟踪境内市场和香港市场的政策走向和发展路径，结合行业分析比较、上市公司战略规划及国际竞争力分析等方法，挖掘属于具备领先趋势的投资主题及相关股票，精选具有估值优势的个股，作为重点进行投资。</w:t>
      </w:r>
    </w:p>
    <w:p w:rsidR="000E520F" w:rsidRDefault="00D34D5D">
      <w:pPr>
        <w:spacing w:line="360" w:lineRule="auto"/>
        <w:ind w:firstLineChars="200" w:firstLine="420"/>
        <w:rPr>
          <w:rFonts w:ascii="宋体" w:hAnsi="宋体"/>
          <w:bCs/>
          <w:szCs w:val="21"/>
        </w:rPr>
      </w:pPr>
      <w:r>
        <w:rPr>
          <w:rFonts w:ascii="宋体" w:hAnsi="宋体" w:hint="eastAsia"/>
          <w:bCs/>
          <w:szCs w:val="21"/>
        </w:rPr>
        <w:t>领先趋势主题行业的界定如下：</w:t>
      </w:r>
    </w:p>
    <w:p w:rsidR="000557C9" w:rsidRPr="000557C9" w:rsidRDefault="000557C9" w:rsidP="000557C9">
      <w:pPr>
        <w:spacing w:line="360" w:lineRule="auto"/>
        <w:ind w:firstLineChars="200" w:firstLine="420"/>
        <w:rPr>
          <w:rFonts w:ascii="宋体" w:hAnsi="宋体"/>
          <w:bCs/>
          <w:szCs w:val="21"/>
        </w:rPr>
      </w:pPr>
      <w:r w:rsidRPr="000557C9">
        <w:rPr>
          <w:rFonts w:ascii="宋体" w:hAnsi="宋体" w:hint="eastAsia"/>
          <w:bCs/>
          <w:szCs w:val="21"/>
        </w:rPr>
        <w:t>（1）目前已经在国际中具备产业竞争力，有望成为未来新经济引擎的战略新兴行业，包括但不限于互联网、TMT、新能源、新材料、生物医药、金融科技、高端装备等；</w:t>
      </w:r>
    </w:p>
    <w:p w:rsidR="000557C9" w:rsidRPr="000557C9" w:rsidRDefault="000557C9" w:rsidP="000557C9">
      <w:pPr>
        <w:spacing w:line="360" w:lineRule="auto"/>
        <w:ind w:firstLineChars="200" w:firstLine="420"/>
        <w:rPr>
          <w:rFonts w:ascii="宋体" w:hAnsi="宋体"/>
          <w:bCs/>
          <w:szCs w:val="21"/>
        </w:rPr>
      </w:pPr>
      <w:r w:rsidRPr="000557C9">
        <w:rPr>
          <w:rFonts w:ascii="宋体" w:hAnsi="宋体" w:hint="eastAsia"/>
          <w:bCs/>
          <w:szCs w:val="21"/>
        </w:rPr>
        <w:t>（2）受益于行业发展趋势而持续、优质发展的消费服务业，包括但不限于大消费、文体娱乐、医疗服务、金融服务、食品饮料、物业管理等；</w:t>
      </w:r>
    </w:p>
    <w:p w:rsidR="000557C9" w:rsidRPr="000557C9" w:rsidRDefault="000557C9" w:rsidP="000557C9">
      <w:pPr>
        <w:spacing w:line="360" w:lineRule="auto"/>
        <w:ind w:firstLineChars="200" w:firstLine="420"/>
        <w:rPr>
          <w:rFonts w:ascii="宋体" w:hAnsi="宋体"/>
          <w:bCs/>
          <w:szCs w:val="21"/>
        </w:rPr>
      </w:pPr>
      <w:r w:rsidRPr="000557C9">
        <w:rPr>
          <w:rFonts w:ascii="宋体" w:hAnsi="宋体" w:hint="eastAsia"/>
          <w:bCs/>
          <w:szCs w:val="21"/>
        </w:rPr>
        <w:t>（3）根据经济、科技等发展现状和趋势，调整现存产业结构而获取增长动力的传统行业，包括但不限于矿产、农业、能源、化工、地产、建筑等。</w:t>
      </w:r>
    </w:p>
    <w:p w:rsidR="000557C9" w:rsidRPr="000557C9" w:rsidRDefault="000557C9" w:rsidP="000557C9">
      <w:pPr>
        <w:spacing w:line="360" w:lineRule="auto"/>
        <w:ind w:firstLineChars="200" w:firstLine="420"/>
        <w:rPr>
          <w:rFonts w:ascii="宋体" w:hAnsi="宋体"/>
          <w:bCs/>
          <w:szCs w:val="21"/>
        </w:rPr>
      </w:pPr>
      <w:r w:rsidRPr="000557C9">
        <w:rPr>
          <w:rFonts w:ascii="宋体" w:hAnsi="宋体" w:hint="eastAsia"/>
          <w:bCs/>
          <w:szCs w:val="21"/>
        </w:rPr>
        <w:t>未来随着技术进步创新，领先趋势行业的外延可能会逐步扩大，</w:t>
      </w:r>
      <w:r w:rsidR="00F85A36" w:rsidRPr="00F85A36">
        <w:rPr>
          <w:rFonts w:ascii="宋体" w:hAnsi="宋体" w:hint="eastAsia"/>
          <w:bCs/>
          <w:szCs w:val="21"/>
        </w:rPr>
        <w:t>如果基金管理人认为有更适当的领先趋势主题界定标准，经履行适当程序后，基金管理人有权对领先趋势主题的界定方法进行变更，并在招募说明书更新中公告。</w:t>
      </w:r>
    </w:p>
    <w:p w:rsidR="000557C9" w:rsidRDefault="000557C9" w:rsidP="000557C9">
      <w:pPr>
        <w:spacing w:line="360" w:lineRule="auto"/>
        <w:ind w:firstLineChars="200" w:firstLine="420"/>
        <w:rPr>
          <w:rFonts w:ascii="宋体" w:hAnsi="宋体"/>
          <w:bCs/>
          <w:szCs w:val="21"/>
        </w:rPr>
      </w:pPr>
      <w:r w:rsidRPr="000557C9">
        <w:rPr>
          <w:rFonts w:ascii="宋体" w:hAnsi="宋体" w:hint="eastAsia"/>
          <w:bCs/>
          <w:szCs w:val="21"/>
        </w:rPr>
        <w:t>另外，内地与香港股票市场交易互联互通机制的开通为港股带来长期的价值重估机遇，在港股投资上，本基金将重点考虑领先趋势主题类港股相对于同类A股的估值优势，精选具有良好基本面、业绩向上弹性较大的股票纳入本基金投资组合。</w:t>
      </w:r>
    </w:p>
    <w:p w:rsidR="000E520F" w:rsidRDefault="00D34D5D" w:rsidP="000557C9">
      <w:pPr>
        <w:spacing w:line="360" w:lineRule="auto"/>
        <w:ind w:firstLineChars="200" w:firstLine="420"/>
        <w:rPr>
          <w:rFonts w:ascii="宋体" w:hAnsi="宋体"/>
          <w:bCs/>
          <w:szCs w:val="21"/>
        </w:rPr>
      </w:pPr>
      <w:r>
        <w:rPr>
          <w:rFonts w:ascii="宋体" w:hAnsi="宋体" w:hint="eastAsia"/>
          <w:bCs/>
          <w:szCs w:val="21"/>
        </w:rPr>
        <w:t>2、个股投资策略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本基金采用定性和定量相结合的方法深入分析挖掘领先趋势主题股票的投资价值，甄选</w:t>
      </w:r>
      <w:r>
        <w:rPr>
          <w:rFonts w:ascii="宋体" w:hAnsi="宋体" w:hint="eastAsia"/>
          <w:bCs/>
          <w:szCs w:val="21"/>
        </w:rPr>
        <w:lastRenderedPageBreak/>
        <w:t>流动性良好的优质个股进行投资。</w:t>
      </w:r>
    </w:p>
    <w:p w:rsidR="000E520F" w:rsidRDefault="00D34D5D">
      <w:pPr>
        <w:spacing w:line="360" w:lineRule="auto"/>
        <w:ind w:firstLineChars="200" w:firstLine="420"/>
        <w:rPr>
          <w:rFonts w:ascii="宋体" w:hAnsi="宋体"/>
          <w:bCs/>
          <w:szCs w:val="21"/>
        </w:rPr>
      </w:pPr>
      <w:r>
        <w:rPr>
          <w:rFonts w:ascii="宋体" w:hAnsi="宋体" w:hint="eastAsia"/>
          <w:bCs/>
          <w:szCs w:val="21"/>
        </w:rPr>
        <w:t>（1）定性分析</w:t>
      </w:r>
    </w:p>
    <w:p w:rsidR="000E520F" w:rsidRDefault="00D34D5D">
      <w:pPr>
        <w:spacing w:line="360" w:lineRule="auto"/>
        <w:ind w:firstLineChars="200" w:firstLine="420"/>
        <w:rPr>
          <w:rFonts w:ascii="宋体" w:hAnsi="宋体"/>
          <w:bCs/>
          <w:szCs w:val="21"/>
        </w:rPr>
      </w:pPr>
      <w:r>
        <w:rPr>
          <w:rFonts w:ascii="宋体" w:hAnsi="宋体" w:hint="eastAsia"/>
          <w:bCs/>
          <w:szCs w:val="21"/>
        </w:rPr>
        <w:t>深入考察相关企业的产业环境、政策环境、市场格局、技术优势、销售渠道、治理结构、激励机制等方面，选择基本面良好且具有持续发展潜力的优质个股。</w:t>
      </w:r>
    </w:p>
    <w:p w:rsidR="000E520F" w:rsidRDefault="00D34D5D">
      <w:pPr>
        <w:spacing w:line="360" w:lineRule="auto"/>
        <w:ind w:firstLineChars="200" w:firstLine="420"/>
        <w:rPr>
          <w:rFonts w:ascii="宋体" w:hAnsi="宋体"/>
          <w:bCs/>
          <w:szCs w:val="21"/>
        </w:rPr>
      </w:pPr>
      <w:r>
        <w:rPr>
          <w:rFonts w:ascii="宋体" w:hAnsi="宋体" w:hint="eastAsia"/>
          <w:bCs/>
          <w:szCs w:val="21"/>
        </w:rPr>
        <w:t>（2）定量分析</w:t>
      </w:r>
    </w:p>
    <w:p w:rsidR="000E520F" w:rsidRDefault="00D34D5D">
      <w:pPr>
        <w:spacing w:line="360" w:lineRule="auto"/>
        <w:ind w:firstLineChars="200" w:firstLine="420"/>
        <w:rPr>
          <w:rFonts w:ascii="宋体" w:hAnsi="宋体"/>
          <w:bCs/>
          <w:szCs w:val="21"/>
        </w:rPr>
      </w:pPr>
      <w:r>
        <w:rPr>
          <w:rFonts w:ascii="宋体" w:hAnsi="宋体" w:hint="eastAsia"/>
          <w:bCs/>
          <w:szCs w:val="21"/>
        </w:rPr>
        <w:t>具体考量以下三类指标，以识别具备潜在盈利弹性或持续成长能力、估值合理的个股进行投资。</w:t>
      </w:r>
    </w:p>
    <w:p w:rsidR="000E520F" w:rsidRDefault="00D34D5D">
      <w:pPr>
        <w:spacing w:line="360" w:lineRule="auto"/>
        <w:ind w:firstLineChars="200" w:firstLine="420"/>
        <w:rPr>
          <w:rFonts w:ascii="宋体" w:hAnsi="宋体"/>
          <w:bCs/>
          <w:szCs w:val="21"/>
        </w:rPr>
      </w:pPr>
      <w:r>
        <w:rPr>
          <w:rFonts w:ascii="宋体" w:hAnsi="宋体" w:hint="eastAsia"/>
          <w:bCs/>
          <w:szCs w:val="21"/>
        </w:rPr>
        <w:t>成长性指标：行业增速和潜在市场空间，产业潜在空间/公司市值比，收入增长率，息税折旧前利润（EBITDA）增长率，经营性活动现金流入增长率，自由现金流增长率；</w:t>
      </w:r>
    </w:p>
    <w:p w:rsidR="000E520F" w:rsidRDefault="00D34D5D">
      <w:pPr>
        <w:spacing w:line="360" w:lineRule="auto"/>
        <w:ind w:firstLineChars="200" w:firstLine="420"/>
        <w:rPr>
          <w:rFonts w:ascii="宋体" w:hAnsi="宋体"/>
          <w:bCs/>
          <w:szCs w:val="21"/>
        </w:rPr>
      </w:pPr>
      <w:r>
        <w:rPr>
          <w:rFonts w:ascii="宋体" w:hAnsi="宋体" w:hint="eastAsia"/>
          <w:bCs/>
          <w:szCs w:val="21"/>
        </w:rPr>
        <w:t>财务指标：毛利率、营业利润率、净资产收益率、投入资本回报率、经营性活动现金净流量、自由现金流净额、研发费用/收入比，息税折旧前利润/收入比；</w:t>
      </w:r>
    </w:p>
    <w:p w:rsidR="000E520F" w:rsidRDefault="00D34D5D">
      <w:pPr>
        <w:spacing w:line="360" w:lineRule="auto"/>
        <w:ind w:firstLineChars="200" w:firstLine="420"/>
        <w:rPr>
          <w:rFonts w:ascii="宋体" w:hAnsi="宋体"/>
          <w:bCs/>
          <w:szCs w:val="21"/>
        </w:rPr>
      </w:pPr>
      <w:r>
        <w:rPr>
          <w:rFonts w:ascii="宋体" w:hAnsi="宋体" w:hint="eastAsia"/>
          <w:bCs/>
          <w:szCs w:val="21"/>
        </w:rPr>
        <w:t>估值指标：市销率（P/S），市净率（P/B）、市现率（P/CF）和总市值。</w:t>
      </w:r>
    </w:p>
    <w:p w:rsidR="000E520F" w:rsidRDefault="00D34D5D">
      <w:pPr>
        <w:spacing w:line="360" w:lineRule="auto"/>
        <w:ind w:firstLineChars="200" w:firstLine="420"/>
        <w:rPr>
          <w:rFonts w:ascii="宋体" w:hAnsi="宋体"/>
          <w:bCs/>
          <w:szCs w:val="21"/>
        </w:rPr>
      </w:pPr>
      <w:r>
        <w:rPr>
          <w:rFonts w:ascii="宋体" w:hAnsi="宋体" w:hint="eastAsia"/>
          <w:bCs/>
          <w:szCs w:val="21"/>
        </w:rPr>
        <w:t>（三）债券投资策略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本基金采用的债券投资策略包括：期限结构策略、信用策略、互换策略、息差策略、可转债投资策略等。</w:t>
      </w:r>
    </w:p>
    <w:p w:rsidR="000E520F" w:rsidRDefault="00D34D5D">
      <w:pPr>
        <w:spacing w:line="360" w:lineRule="auto"/>
        <w:ind w:firstLineChars="200" w:firstLine="420"/>
        <w:rPr>
          <w:rFonts w:ascii="宋体" w:hAnsi="宋体"/>
          <w:bCs/>
          <w:szCs w:val="21"/>
        </w:rPr>
      </w:pPr>
      <w:r>
        <w:rPr>
          <w:rFonts w:ascii="宋体" w:hAnsi="宋体" w:hint="eastAsia"/>
          <w:bCs/>
          <w:szCs w:val="21"/>
        </w:rPr>
        <w:t>1、期限结构策略</w:t>
      </w:r>
    </w:p>
    <w:p w:rsidR="000E520F" w:rsidRDefault="00D34D5D">
      <w:pPr>
        <w:spacing w:line="360" w:lineRule="auto"/>
        <w:ind w:firstLineChars="200" w:firstLine="420"/>
        <w:rPr>
          <w:rFonts w:ascii="宋体" w:hAnsi="宋体"/>
          <w:bCs/>
          <w:szCs w:val="21"/>
        </w:rPr>
      </w:pPr>
      <w:r>
        <w:rPr>
          <w:rFonts w:ascii="宋体" w:hAnsi="宋体" w:hint="eastAsia"/>
          <w:bCs/>
          <w:szCs w:val="21"/>
        </w:rPr>
        <w:t>通过预测收益率曲线的形状和变化趋势，对各类型债券进行久期配置。具体策略又分为跟踪收益率曲线的骑乘策略和基于收益率曲线变化的子弹策略、杠铃策略及梯式策略。</w:t>
      </w:r>
    </w:p>
    <w:p w:rsidR="000E520F" w:rsidRDefault="00D34D5D">
      <w:pPr>
        <w:spacing w:line="360" w:lineRule="auto"/>
        <w:ind w:firstLineChars="200" w:firstLine="420"/>
        <w:rPr>
          <w:rFonts w:ascii="宋体" w:hAnsi="宋体"/>
          <w:bCs/>
          <w:szCs w:val="21"/>
        </w:rPr>
      </w:pPr>
      <w:r>
        <w:rPr>
          <w:rFonts w:ascii="宋体" w:hAnsi="宋体" w:hint="eastAsia"/>
          <w:bCs/>
          <w:szCs w:val="21"/>
        </w:rPr>
        <w:t>2、信用策略</w:t>
      </w:r>
    </w:p>
    <w:p w:rsidR="000E520F" w:rsidRDefault="00D34D5D">
      <w:pPr>
        <w:spacing w:line="360" w:lineRule="auto"/>
        <w:ind w:firstLineChars="200" w:firstLine="420"/>
        <w:rPr>
          <w:rFonts w:ascii="宋体" w:hAnsi="宋体"/>
          <w:bCs/>
          <w:szCs w:val="21"/>
        </w:rPr>
      </w:pPr>
      <w:r>
        <w:rPr>
          <w:rFonts w:ascii="宋体" w:hAnsi="宋体" w:hint="eastAsia"/>
          <w:bCs/>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rsidR="000E520F" w:rsidRDefault="00D34D5D">
      <w:pPr>
        <w:spacing w:line="360" w:lineRule="auto"/>
        <w:ind w:firstLineChars="200" w:firstLine="420"/>
        <w:rPr>
          <w:rFonts w:ascii="宋体" w:hAnsi="宋体"/>
          <w:bCs/>
          <w:szCs w:val="21"/>
        </w:rPr>
      </w:pPr>
      <w:r>
        <w:rPr>
          <w:rFonts w:ascii="宋体" w:hAnsi="宋体" w:hint="eastAsia"/>
          <w:bCs/>
          <w:szCs w:val="21"/>
        </w:rPr>
        <w:t>3、互换策略</w:t>
      </w:r>
    </w:p>
    <w:p w:rsidR="000E520F" w:rsidRDefault="00D34D5D">
      <w:pPr>
        <w:spacing w:line="360" w:lineRule="auto"/>
        <w:ind w:firstLineChars="200" w:firstLine="420"/>
        <w:rPr>
          <w:rFonts w:ascii="宋体" w:hAnsi="宋体"/>
          <w:bCs/>
          <w:szCs w:val="21"/>
        </w:rPr>
      </w:pPr>
      <w:r>
        <w:rPr>
          <w:rFonts w:ascii="宋体" w:hAnsi="宋体" w:hint="eastAsia"/>
          <w:bCs/>
          <w:szCs w:val="21"/>
        </w:rPr>
        <w:t>不同券种在利息、违约风险、久期、流动性、税收和衍生条款等方面存在差别，投资管理人可以同时买入和卖出具有相近特性的两个或两个以上券种，赚取收益级差。</w:t>
      </w:r>
    </w:p>
    <w:p w:rsidR="000E520F" w:rsidRDefault="00D34D5D">
      <w:pPr>
        <w:spacing w:line="360" w:lineRule="auto"/>
        <w:ind w:firstLineChars="200" w:firstLine="420"/>
        <w:rPr>
          <w:rFonts w:ascii="宋体" w:hAnsi="宋体"/>
          <w:bCs/>
          <w:szCs w:val="21"/>
        </w:rPr>
      </w:pPr>
      <w:r>
        <w:rPr>
          <w:rFonts w:ascii="宋体" w:hAnsi="宋体" w:hint="eastAsia"/>
          <w:bCs/>
          <w:szCs w:val="21"/>
        </w:rPr>
        <w:t>4、息差策略</w:t>
      </w:r>
    </w:p>
    <w:p w:rsidR="000E520F" w:rsidRDefault="00D34D5D">
      <w:pPr>
        <w:spacing w:line="360" w:lineRule="auto"/>
        <w:ind w:firstLineChars="200" w:firstLine="420"/>
        <w:rPr>
          <w:rFonts w:ascii="宋体" w:hAnsi="宋体"/>
          <w:bCs/>
          <w:szCs w:val="21"/>
        </w:rPr>
      </w:pPr>
      <w:r>
        <w:rPr>
          <w:rFonts w:ascii="宋体" w:hAnsi="宋体" w:hint="eastAsia"/>
          <w:bCs/>
          <w:szCs w:val="21"/>
        </w:rPr>
        <w:t>通过正回购，融资买入收益率高于回购成本的债券，从而获得杠杆放大收益。</w:t>
      </w:r>
    </w:p>
    <w:p w:rsidR="000E520F" w:rsidRDefault="00D34D5D">
      <w:pPr>
        <w:spacing w:line="360" w:lineRule="auto"/>
        <w:ind w:firstLineChars="200" w:firstLine="420"/>
        <w:rPr>
          <w:rFonts w:ascii="宋体" w:hAnsi="宋体"/>
          <w:bCs/>
          <w:szCs w:val="21"/>
        </w:rPr>
      </w:pPr>
      <w:r>
        <w:rPr>
          <w:rFonts w:ascii="宋体" w:hAnsi="宋体" w:hint="eastAsia"/>
          <w:bCs/>
          <w:szCs w:val="21"/>
        </w:rPr>
        <w:t>5、可转债投资策略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rsidR="000E520F" w:rsidRDefault="00D34D5D">
      <w:pPr>
        <w:spacing w:line="360" w:lineRule="auto"/>
        <w:ind w:firstLineChars="200" w:firstLine="420"/>
        <w:rPr>
          <w:rFonts w:ascii="宋体" w:hAnsi="宋体"/>
          <w:bCs/>
          <w:szCs w:val="21"/>
        </w:rPr>
      </w:pPr>
      <w:r>
        <w:rPr>
          <w:rFonts w:ascii="宋体" w:hAnsi="宋体" w:hint="eastAsia"/>
          <w:bCs/>
          <w:szCs w:val="21"/>
        </w:rPr>
        <w:t>（四）资产支持证券投资策略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lastRenderedPageBreak/>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（五）衍生产品投资策略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本基金将根据风险管理的原则，以套期保值为目的，在风险可控的前提下，本着谨慎原则，参与国债期货的投资，以管理投资组合的系统性风险，改善组合的风险收益特性。</w:t>
      </w:r>
    </w:p>
    <w:p w:rsidR="000E520F" w:rsidRDefault="00D34D5D">
      <w:pPr>
        <w:spacing w:line="360" w:lineRule="auto"/>
        <w:ind w:firstLineChars="200" w:firstLine="420"/>
        <w:rPr>
          <w:rFonts w:ascii="宋体" w:hAnsi="宋体"/>
          <w:bCs/>
          <w:szCs w:val="21"/>
        </w:rPr>
      </w:pPr>
      <w:r>
        <w:rPr>
          <w:rFonts w:ascii="宋体" w:hAnsi="宋体" w:hint="eastAsia"/>
          <w:bCs/>
          <w:szCs w:val="21"/>
        </w:rPr>
        <w:t>股票期权为本基金辅助性投资工具。股票期权的投资原则为有利于基金资产增值、控制下跌风险、实现保值和锁定收益。</w:t>
      </w:r>
    </w:p>
    <w:p w:rsidR="000E520F" w:rsidRDefault="00D34D5D">
      <w:pPr>
        <w:spacing w:line="360" w:lineRule="auto"/>
        <w:ind w:firstLineChars="200" w:firstLine="420"/>
        <w:rPr>
          <w:rFonts w:ascii="宋体" w:hAnsi="宋体"/>
          <w:bCs/>
          <w:szCs w:val="21"/>
        </w:rPr>
      </w:pPr>
      <w:r>
        <w:rPr>
          <w:rFonts w:ascii="宋体" w:hAnsi="宋体" w:hint="eastAsia"/>
          <w:bCs/>
          <w:szCs w:val="21"/>
        </w:rPr>
        <w:t>（六）流通受限证券投资策略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本基金将根据基金管理人的净资本规模，以及本基金的投资风格和流动性特点，兼顾基金投资的安全性、流动性和收益性，合理控制基金投资流通受限证券的比例。</w:t>
      </w:r>
    </w:p>
    <w:p w:rsidR="000E520F" w:rsidRDefault="00D34D5D">
      <w:pPr>
        <w:spacing w:line="360" w:lineRule="auto"/>
        <w:ind w:firstLineChars="200" w:firstLine="420"/>
        <w:rPr>
          <w:rFonts w:ascii="宋体" w:hAnsi="宋体"/>
          <w:bCs/>
          <w:szCs w:val="21"/>
        </w:rPr>
      </w:pPr>
      <w:r>
        <w:rPr>
          <w:rFonts w:ascii="宋体" w:hAnsi="宋体" w:hint="eastAsia"/>
          <w:bCs/>
          <w:szCs w:val="21"/>
        </w:rPr>
        <w:t>（七）信用衍生品投资策略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依托于公司整体的信用研究团队，当预期某只债券有较高的违约风险时，可以购买对应债券的信用衍生品来控制标的债券的信用风险冲击。</w:t>
      </w:r>
    </w:p>
    <w:p w:rsidR="000E520F" w:rsidRDefault="00D34D5D">
      <w:pPr>
        <w:spacing w:line="360" w:lineRule="auto"/>
        <w:ind w:firstLineChars="200" w:firstLine="420"/>
        <w:rPr>
          <w:rFonts w:ascii="宋体" w:hAnsi="宋体"/>
          <w:bCs/>
          <w:szCs w:val="21"/>
        </w:rPr>
      </w:pPr>
      <w:r>
        <w:rPr>
          <w:rFonts w:ascii="宋体" w:hAnsi="宋体" w:hint="eastAsia"/>
          <w:bCs/>
          <w:szCs w:val="21"/>
        </w:rPr>
        <w:t>本基金按风险管理的原则，以风险对冲为目的参与信用衍生品交易，同时会根据实际情况尽量保持信用衍生品的名义本金与对应标的债券的面值相一致。</w:t>
      </w:r>
    </w:p>
    <w:p w:rsidR="000E520F" w:rsidRDefault="00D34D5D">
      <w:pPr>
        <w:spacing w:line="360" w:lineRule="auto"/>
        <w:ind w:firstLineChars="200" w:firstLine="420"/>
        <w:rPr>
          <w:rFonts w:ascii="宋体" w:hAnsi="宋体"/>
          <w:bCs/>
          <w:szCs w:val="21"/>
        </w:rPr>
      </w:pPr>
      <w:r>
        <w:rPr>
          <w:rFonts w:ascii="宋体" w:hAnsi="宋体" w:hint="eastAsia"/>
          <w:bCs/>
          <w:szCs w:val="21"/>
        </w:rPr>
        <w:t>（八）参与融资业务的投资策略</w:t>
      </w:r>
    </w:p>
    <w:p w:rsidR="000E520F" w:rsidRDefault="00D34D5D">
      <w:pPr>
        <w:spacing w:line="360" w:lineRule="auto"/>
        <w:ind w:firstLineChars="200" w:firstLine="420"/>
        <w:rPr>
          <w:rFonts w:ascii="宋体" w:hAnsi="宋体"/>
          <w:bCs/>
          <w:szCs w:val="21"/>
        </w:rPr>
      </w:pPr>
      <w:r>
        <w:rPr>
          <w:rFonts w:ascii="宋体" w:hAnsi="宋体" w:hint="eastAsia"/>
          <w:bCs/>
          <w:szCs w:val="21"/>
        </w:rPr>
        <w:t>为了更好地实现投资目标，在综合考虑预期风险、收益、流动性等因素的基础上，本基金可参与融资业务。</w:t>
      </w:r>
    </w:p>
    <w:p w:rsidR="000E520F" w:rsidRDefault="00D34D5D">
      <w:pPr>
        <w:spacing w:line="360" w:lineRule="auto"/>
        <w:ind w:firstLineChars="200" w:firstLine="420"/>
        <w:rPr>
          <w:rFonts w:ascii="宋体" w:hAnsi="宋体"/>
          <w:bCs/>
          <w:szCs w:val="21"/>
        </w:rPr>
      </w:pPr>
      <w:r>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E520F" w:rsidRDefault="00D34D5D">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76"/>
      <w:bookmarkEnd w:id="77"/>
      <w:bookmarkEnd w:id="78"/>
      <w:r>
        <w:rPr>
          <w:rFonts w:ascii="Arial Unicode MS" w:hAnsi="Arial Unicode MS" w:cs="Arial"/>
          <w:b/>
          <w:bCs/>
          <w:szCs w:val="21"/>
        </w:rPr>
        <w:t>投资限制</w:t>
      </w:r>
    </w:p>
    <w:p w:rsidR="000E520F" w:rsidRDefault="00D34D5D">
      <w:pPr>
        <w:spacing w:line="360" w:lineRule="auto"/>
        <w:ind w:firstLineChars="200" w:firstLine="420"/>
        <w:rPr>
          <w:rFonts w:ascii="宋体" w:hAnsi="宋体"/>
          <w:bCs/>
          <w:szCs w:val="21"/>
        </w:rPr>
      </w:pPr>
      <w:r>
        <w:rPr>
          <w:rFonts w:ascii="宋体" w:hAnsi="宋体" w:hint="eastAsia"/>
          <w:bCs/>
          <w:szCs w:val="21"/>
        </w:rPr>
        <w:t>1、组合限制</w:t>
      </w:r>
    </w:p>
    <w:p w:rsidR="000E520F" w:rsidRDefault="00D34D5D">
      <w:pPr>
        <w:spacing w:line="360" w:lineRule="auto"/>
        <w:ind w:firstLineChars="200" w:firstLine="420"/>
        <w:rPr>
          <w:rFonts w:ascii="宋体" w:hAnsi="宋体"/>
          <w:bCs/>
          <w:szCs w:val="21"/>
        </w:rPr>
      </w:pPr>
      <w:r>
        <w:rPr>
          <w:rFonts w:ascii="宋体" w:hAnsi="宋体" w:hint="eastAsia"/>
          <w:bCs/>
          <w:szCs w:val="21"/>
        </w:rPr>
        <w:t>基金的投资组合应遵循以下限制：</w:t>
      </w:r>
    </w:p>
    <w:p w:rsidR="000E520F" w:rsidRDefault="00D34D5D">
      <w:pPr>
        <w:spacing w:line="360" w:lineRule="auto"/>
        <w:ind w:firstLineChars="200" w:firstLine="420"/>
        <w:rPr>
          <w:bCs/>
          <w:szCs w:val="21"/>
        </w:rPr>
      </w:pPr>
      <w:r>
        <w:rPr>
          <w:rFonts w:ascii="宋体" w:hAnsi="宋体" w:hint="eastAsia"/>
          <w:bCs/>
          <w:szCs w:val="21"/>
        </w:rPr>
        <w:t>（1）股票资产占基金资产的比例为60%—95%，</w:t>
      </w:r>
      <w:r>
        <w:rPr>
          <w:rFonts w:hint="eastAsia"/>
          <w:bCs/>
          <w:szCs w:val="21"/>
        </w:rPr>
        <w:t>其中，投资于港股通标的股票的比例不低于非现金基金资产的</w:t>
      </w:r>
      <w:r>
        <w:rPr>
          <w:rFonts w:hint="eastAsia"/>
          <w:bCs/>
          <w:szCs w:val="21"/>
        </w:rPr>
        <w:t>80%</w:t>
      </w:r>
      <w:r>
        <w:rPr>
          <w:rFonts w:hint="eastAsia"/>
          <w:bCs/>
          <w:szCs w:val="21"/>
        </w:rPr>
        <w:t>，投资于领先趋势主题相关证券资产的比例不低于非现金基金资产的</w:t>
      </w:r>
      <w:r>
        <w:rPr>
          <w:rFonts w:hint="eastAsia"/>
          <w:bCs/>
          <w:szCs w:val="21"/>
        </w:rPr>
        <w:t>80%</w:t>
      </w:r>
      <w:r>
        <w:rPr>
          <w:rFonts w:hint="eastAsia"/>
          <w:bCs/>
          <w:szCs w:val="21"/>
        </w:rPr>
        <w:t>；</w:t>
      </w:r>
    </w:p>
    <w:p w:rsidR="000E520F" w:rsidRDefault="00D34D5D">
      <w:pPr>
        <w:spacing w:line="360" w:lineRule="auto"/>
        <w:ind w:firstLineChars="200" w:firstLine="420"/>
        <w:rPr>
          <w:rFonts w:ascii="宋体" w:hAnsi="宋体"/>
          <w:bCs/>
          <w:szCs w:val="21"/>
        </w:rPr>
      </w:pPr>
      <w:r>
        <w:rPr>
          <w:rFonts w:ascii="宋体" w:hAnsi="宋体" w:hint="eastAsia"/>
          <w:bCs/>
          <w:szCs w:val="21"/>
        </w:rPr>
        <w:t>（2）每个交易日日终在扣除股指期货合约、股票期权合约、国债期货合约所需缴纳的交易保证金后，现金或到期日在一年以内的政府债券不低于基金资产净值的5%。前述现金</w:t>
      </w:r>
      <w:r>
        <w:rPr>
          <w:rFonts w:ascii="宋体" w:hAnsi="宋体" w:hint="eastAsia"/>
          <w:bCs/>
          <w:szCs w:val="21"/>
        </w:rPr>
        <w:lastRenderedPageBreak/>
        <w:t>不包括结算备付金、存出保证金、应收申购款等；</w:t>
      </w:r>
    </w:p>
    <w:p w:rsidR="000E520F" w:rsidRDefault="00D34D5D">
      <w:pPr>
        <w:spacing w:line="360" w:lineRule="auto"/>
        <w:ind w:firstLineChars="200" w:firstLine="420"/>
        <w:rPr>
          <w:rFonts w:ascii="宋体" w:hAnsi="宋体"/>
          <w:bCs/>
          <w:szCs w:val="21"/>
        </w:rPr>
      </w:pPr>
      <w:r>
        <w:rPr>
          <w:rFonts w:ascii="宋体" w:hAnsi="宋体" w:hint="eastAsia"/>
          <w:bCs/>
          <w:szCs w:val="21"/>
        </w:rPr>
        <w:t>（3）本基金持有一家公司发行的证券，其市值（若同时持有一家公司发行的A股和H股，则为A股与H股合计市值）不超过基金资产净值的10％；</w:t>
      </w:r>
    </w:p>
    <w:p w:rsidR="000E520F" w:rsidRDefault="00D34D5D">
      <w:pPr>
        <w:spacing w:line="360" w:lineRule="auto"/>
        <w:ind w:firstLineChars="200" w:firstLine="420"/>
        <w:rPr>
          <w:rFonts w:ascii="宋体" w:hAnsi="宋体"/>
          <w:bCs/>
          <w:szCs w:val="21"/>
        </w:rPr>
      </w:pPr>
      <w:r>
        <w:rPr>
          <w:rFonts w:ascii="宋体" w:hAnsi="宋体" w:hint="eastAsia"/>
          <w:bCs/>
          <w:szCs w:val="21"/>
        </w:rPr>
        <w:t>（4）本基金管理人管理的全部基金持有一家公司发行的证券，不超过该证券（若同时持有一家公司发行的A股和H股，则为A股与H股合计）的10％；</w:t>
      </w:r>
    </w:p>
    <w:p w:rsidR="000E520F" w:rsidRDefault="00D34D5D">
      <w:pPr>
        <w:spacing w:line="360" w:lineRule="auto"/>
        <w:ind w:firstLineChars="200" w:firstLine="420"/>
        <w:rPr>
          <w:rFonts w:ascii="宋体" w:hAnsi="宋体"/>
          <w:bCs/>
          <w:szCs w:val="21"/>
        </w:rPr>
      </w:pPr>
      <w:r>
        <w:rPr>
          <w:rFonts w:ascii="宋体" w:hAnsi="宋体" w:hint="eastAsia"/>
          <w:bCs/>
          <w:szCs w:val="21"/>
        </w:rPr>
        <w:t>（5）本基金投资于同一原始权益人的各类资产支持证券的比例，不得超过基金资产净值的10％；</w:t>
      </w:r>
    </w:p>
    <w:p w:rsidR="000E520F" w:rsidRDefault="00D34D5D">
      <w:pPr>
        <w:spacing w:line="360" w:lineRule="auto"/>
        <w:ind w:firstLineChars="200" w:firstLine="420"/>
        <w:rPr>
          <w:rFonts w:ascii="宋体" w:hAnsi="宋体"/>
          <w:bCs/>
          <w:szCs w:val="21"/>
        </w:rPr>
      </w:pPr>
      <w:r>
        <w:rPr>
          <w:rFonts w:ascii="宋体" w:hAnsi="宋体" w:hint="eastAsia"/>
          <w:bCs/>
          <w:szCs w:val="21"/>
        </w:rPr>
        <w:t>（6）本基金持有的全部资产支持证券，其市值不得超过基金资产净值的20％；</w:t>
      </w:r>
    </w:p>
    <w:p w:rsidR="000E520F" w:rsidRDefault="00D34D5D">
      <w:pPr>
        <w:spacing w:line="360" w:lineRule="auto"/>
        <w:ind w:firstLineChars="200" w:firstLine="420"/>
        <w:rPr>
          <w:rFonts w:ascii="宋体" w:hAnsi="宋体"/>
          <w:bCs/>
          <w:szCs w:val="21"/>
        </w:rPr>
      </w:pPr>
      <w:r>
        <w:rPr>
          <w:rFonts w:ascii="宋体" w:hAnsi="宋体" w:hint="eastAsia"/>
          <w:bCs/>
          <w:szCs w:val="21"/>
        </w:rPr>
        <w:t>（7）本基金持有的同一(指同一信用级别)资产支持证券的比例，不得超过该资产支持证券规模的10％；</w:t>
      </w:r>
    </w:p>
    <w:p w:rsidR="000E520F" w:rsidRDefault="00D34D5D">
      <w:pPr>
        <w:spacing w:line="360" w:lineRule="auto"/>
        <w:ind w:firstLineChars="200" w:firstLine="420"/>
        <w:rPr>
          <w:rFonts w:ascii="宋体" w:hAnsi="宋体"/>
          <w:bCs/>
          <w:szCs w:val="21"/>
        </w:rPr>
      </w:pPr>
      <w:r>
        <w:rPr>
          <w:rFonts w:ascii="宋体" w:hAnsi="宋体" w:hint="eastAsia"/>
          <w:bCs/>
          <w:szCs w:val="21"/>
        </w:rPr>
        <w:t>（8）本基金管理人管理的全部基金投资于同一原始权益人的各类资产支持证券，不得超过其各类资产支持证券合计规模的10％；</w:t>
      </w:r>
    </w:p>
    <w:p w:rsidR="000E520F" w:rsidRDefault="00D34D5D">
      <w:pPr>
        <w:spacing w:line="360" w:lineRule="auto"/>
        <w:ind w:firstLineChars="200" w:firstLine="420"/>
        <w:rPr>
          <w:rFonts w:ascii="宋体" w:hAnsi="宋体"/>
          <w:bCs/>
          <w:szCs w:val="21"/>
        </w:rPr>
      </w:pPr>
      <w:r>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rsidR="000E520F" w:rsidRDefault="00D34D5D">
      <w:pPr>
        <w:spacing w:line="360" w:lineRule="auto"/>
        <w:ind w:firstLineChars="200" w:firstLine="420"/>
        <w:rPr>
          <w:rFonts w:ascii="宋体" w:hAnsi="宋体"/>
          <w:bCs/>
          <w:szCs w:val="21"/>
        </w:rPr>
      </w:pPr>
      <w:r>
        <w:rPr>
          <w:rFonts w:ascii="宋体" w:hAnsi="宋体" w:hint="eastAsia"/>
          <w:bCs/>
          <w:szCs w:val="21"/>
        </w:rPr>
        <w:t>（10）基金财产参与股票发行申购，本基金所申报的金额不超过本基金的总资产，本基金所申报的股票数量不超过拟发行股票公司本次发行股票的总量；</w:t>
      </w:r>
    </w:p>
    <w:p w:rsidR="000E520F" w:rsidRDefault="00D34D5D">
      <w:pPr>
        <w:spacing w:line="360" w:lineRule="auto"/>
        <w:ind w:firstLineChars="200" w:firstLine="420"/>
        <w:rPr>
          <w:rFonts w:ascii="宋体" w:hAnsi="宋体"/>
          <w:bCs/>
          <w:szCs w:val="21"/>
        </w:rPr>
      </w:pPr>
      <w:r>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rsidR="000E520F" w:rsidRDefault="00D34D5D">
      <w:pPr>
        <w:spacing w:line="360" w:lineRule="auto"/>
        <w:ind w:firstLineChars="200" w:firstLine="420"/>
        <w:rPr>
          <w:rFonts w:ascii="宋体" w:hAnsi="宋体"/>
          <w:bCs/>
          <w:szCs w:val="21"/>
        </w:rPr>
      </w:pPr>
      <w:r>
        <w:rPr>
          <w:rFonts w:ascii="宋体" w:hAnsi="宋体" w:hint="eastAsia"/>
          <w:bCs/>
          <w:szCs w:val="21"/>
        </w:rPr>
        <w:t>（12）本基金参与股指期货、国债期货投资的，应遵循下列限制：</w:t>
      </w:r>
    </w:p>
    <w:p w:rsidR="000E520F" w:rsidRDefault="00D34D5D">
      <w:pPr>
        <w:spacing w:line="360" w:lineRule="auto"/>
        <w:ind w:firstLineChars="200" w:firstLine="420"/>
        <w:rPr>
          <w:rFonts w:ascii="宋体" w:hAnsi="宋体"/>
          <w:bCs/>
          <w:szCs w:val="21"/>
        </w:rPr>
      </w:pPr>
      <w:r>
        <w:rPr>
          <w:rFonts w:ascii="宋体" w:hAnsi="宋体" w:hint="eastAsia"/>
          <w:bCs/>
          <w:szCs w:val="21"/>
        </w:rPr>
        <w:t>1）本基金在任何交易日日终，持有的买入股指期货合约价值，不得超过基金资产净值的10%；</w:t>
      </w:r>
    </w:p>
    <w:p w:rsidR="000E520F" w:rsidRDefault="00D34D5D">
      <w:pPr>
        <w:spacing w:line="360" w:lineRule="auto"/>
        <w:ind w:firstLineChars="200" w:firstLine="420"/>
        <w:rPr>
          <w:rFonts w:ascii="宋体" w:hAnsi="宋体"/>
          <w:bCs/>
          <w:szCs w:val="21"/>
        </w:rPr>
      </w:pPr>
      <w:r>
        <w:rPr>
          <w:rFonts w:ascii="宋体" w:hAnsi="宋体" w:hint="eastAsia"/>
          <w:bCs/>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rsidR="000E520F" w:rsidRDefault="00D34D5D">
      <w:pPr>
        <w:spacing w:line="360" w:lineRule="auto"/>
        <w:ind w:firstLineChars="200" w:firstLine="420"/>
        <w:rPr>
          <w:rFonts w:ascii="宋体" w:hAnsi="宋体"/>
          <w:bCs/>
          <w:szCs w:val="21"/>
        </w:rPr>
      </w:pPr>
      <w:r>
        <w:rPr>
          <w:rFonts w:ascii="宋体" w:hAnsi="宋体" w:hint="eastAsia"/>
          <w:bCs/>
          <w:szCs w:val="21"/>
        </w:rPr>
        <w:t>3）本基金在任何交易日日终，持有的卖出股指期货合约价值不得超过基金持有的股票总市值的20%；</w:t>
      </w:r>
    </w:p>
    <w:p w:rsidR="000E520F" w:rsidRDefault="00D34D5D">
      <w:pPr>
        <w:spacing w:line="360" w:lineRule="auto"/>
        <w:ind w:firstLineChars="200" w:firstLine="420"/>
        <w:rPr>
          <w:rFonts w:ascii="宋体" w:hAnsi="宋体"/>
          <w:bCs/>
          <w:szCs w:val="21"/>
        </w:rPr>
      </w:pPr>
      <w:r>
        <w:rPr>
          <w:rFonts w:ascii="宋体" w:hAnsi="宋体" w:hint="eastAsia"/>
          <w:bCs/>
          <w:szCs w:val="21"/>
        </w:rPr>
        <w:t>4）本基金在任何交易日内交易（不包括平仓）的股指期货合约的成交金额不得超过上一交易日基金资产净值的20%；</w:t>
      </w:r>
    </w:p>
    <w:p w:rsidR="000E520F" w:rsidRDefault="00D34D5D">
      <w:pPr>
        <w:spacing w:line="360" w:lineRule="auto"/>
        <w:ind w:firstLineChars="200" w:firstLine="420"/>
        <w:rPr>
          <w:rFonts w:ascii="宋体" w:hAnsi="宋体"/>
          <w:bCs/>
          <w:szCs w:val="21"/>
        </w:rPr>
      </w:pPr>
      <w:r>
        <w:rPr>
          <w:rFonts w:ascii="宋体" w:hAnsi="宋体" w:hint="eastAsia"/>
          <w:bCs/>
          <w:szCs w:val="21"/>
        </w:rPr>
        <w:t xml:space="preserve">5）本基金所持有的股票市值和买入、卖出股指期货合约价值，合计（轧差计算）应当符合基金合同关于股票投资比例的有关规定； </w:t>
      </w:r>
    </w:p>
    <w:p w:rsidR="000E520F" w:rsidRDefault="00D34D5D">
      <w:pPr>
        <w:spacing w:line="360" w:lineRule="auto"/>
        <w:ind w:firstLineChars="200" w:firstLine="420"/>
        <w:rPr>
          <w:rFonts w:ascii="宋体" w:hAnsi="宋体"/>
          <w:bCs/>
          <w:szCs w:val="21"/>
        </w:rPr>
      </w:pPr>
      <w:r>
        <w:rPr>
          <w:rFonts w:ascii="宋体" w:hAnsi="宋体" w:hint="eastAsia"/>
          <w:bCs/>
          <w:szCs w:val="21"/>
        </w:rPr>
        <w:t>6）本基金在任何交易日日终，持有的买入国债期货合约价值，不得超过基金资产净值的15%；</w:t>
      </w:r>
    </w:p>
    <w:p w:rsidR="000E520F" w:rsidRDefault="00D34D5D">
      <w:pPr>
        <w:spacing w:line="360" w:lineRule="auto"/>
        <w:ind w:firstLineChars="200" w:firstLine="420"/>
        <w:rPr>
          <w:rFonts w:ascii="宋体" w:hAnsi="宋体"/>
          <w:bCs/>
          <w:szCs w:val="21"/>
        </w:rPr>
      </w:pPr>
      <w:r>
        <w:rPr>
          <w:rFonts w:ascii="宋体" w:hAnsi="宋体" w:hint="eastAsia"/>
          <w:bCs/>
          <w:szCs w:val="21"/>
        </w:rPr>
        <w:lastRenderedPageBreak/>
        <w:t>7）本基金在任何交易日日终，持有的卖出国债期货合约价值不得超过基金持有的债券总市值的30%；</w:t>
      </w:r>
    </w:p>
    <w:p w:rsidR="000E520F" w:rsidRDefault="00D34D5D">
      <w:pPr>
        <w:spacing w:line="360" w:lineRule="auto"/>
        <w:ind w:firstLineChars="200" w:firstLine="420"/>
        <w:rPr>
          <w:rFonts w:ascii="宋体" w:hAnsi="宋体"/>
          <w:bCs/>
          <w:szCs w:val="21"/>
        </w:rPr>
      </w:pPr>
      <w:r>
        <w:rPr>
          <w:rFonts w:ascii="宋体" w:hAnsi="宋体" w:hint="eastAsia"/>
          <w:bCs/>
          <w:szCs w:val="21"/>
        </w:rPr>
        <w:t>8）本基金在任何交易日内交易（不包括平仓）的国债期货合约的成交金额不得超过上一交易日基金资产净值的30%；</w:t>
      </w:r>
    </w:p>
    <w:p w:rsidR="000E520F" w:rsidRDefault="00D34D5D">
      <w:pPr>
        <w:spacing w:line="360" w:lineRule="auto"/>
        <w:ind w:firstLineChars="200" w:firstLine="420"/>
        <w:rPr>
          <w:rFonts w:ascii="宋体" w:hAnsi="宋体"/>
          <w:bCs/>
          <w:szCs w:val="21"/>
        </w:rPr>
      </w:pPr>
      <w:r>
        <w:rPr>
          <w:rFonts w:ascii="宋体" w:hAnsi="宋体" w:hint="eastAsia"/>
          <w:bCs/>
          <w:szCs w:val="21"/>
        </w:rPr>
        <w:t>9）本基金所持有的债券（不含到期日在一年以内的政府债券）市值和买入、卖出国债期货合约价值，合计（轧差计算）应当符合基金合同关于债券投资比例的有关约定；</w:t>
      </w:r>
    </w:p>
    <w:p w:rsidR="000E520F" w:rsidRDefault="00D34D5D">
      <w:pPr>
        <w:spacing w:line="360" w:lineRule="auto"/>
        <w:ind w:firstLineChars="200" w:firstLine="420"/>
        <w:rPr>
          <w:rFonts w:ascii="宋体" w:hAnsi="宋体"/>
          <w:bCs/>
          <w:szCs w:val="21"/>
        </w:rPr>
      </w:pPr>
      <w:r>
        <w:rPr>
          <w:rFonts w:ascii="宋体" w:hAnsi="宋体" w:hint="eastAsia"/>
          <w:bCs/>
          <w:szCs w:val="21"/>
        </w:rPr>
        <w:t>（13）本基金参与股票期权交易的，需遵守下列规定：</w:t>
      </w:r>
    </w:p>
    <w:p w:rsidR="000E520F" w:rsidRDefault="00D34D5D">
      <w:pPr>
        <w:spacing w:line="360" w:lineRule="auto"/>
        <w:ind w:firstLineChars="200" w:firstLine="420"/>
        <w:rPr>
          <w:rFonts w:ascii="宋体" w:hAnsi="宋体"/>
          <w:bCs/>
          <w:szCs w:val="21"/>
        </w:rPr>
      </w:pPr>
      <w:r>
        <w:rPr>
          <w:rFonts w:ascii="宋体" w:hAnsi="宋体" w:hint="eastAsia"/>
          <w:bCs/>
          <w:szCs w:val="21"/>
        </w:rPr>
        <w:t>1）因未平仓的股票期权合约支付和收取的权利金总额不得超过基金资产净值的10%；</w:t>
      </w:r>
    </w:p>
    <w:p w:rsidR="000E520F" w:rsidRDefault="00D34D5D">
      <w:pPr>
        <w:spacing w:line="360" w:lineRule="auto"/>
        <w:ind w:firstLineChars="200" w:firstLine="420"/>
        <w:rPr>
          <w:rFonts w:ascii="宋体" w:hAnsi="宋体"/>
          <w:bCs/>
          <w:szCs w:val="21"/>
        </w:rPr>
      </w:pPr>
      <w:r>
        <w:rPr>
          <w:rFonts w:ascii="宋体" w:hAnsi="宋体" w:hint="eastAsia"/>
          <w:bCs/>
          <w:szCs w:val="21"/>
        </w:rPr>
        <w:t>2）开仓卖出认购股票期权的，应持有足额标的证券；开仓卖出认沽股票期权的，应持有合约行权所需的全额现金或交易所规则认可的可冲抵股票期权保证金的现金等价物；</w:t>
      </w:r>
    </w:p>
    <w:p w:rsidR="000E520F" w:rsidRDefault="00D34D5D">
      <w:pPr>
        <w:spacing w:line="360" w:lineRule="auto"/>
        <w:ind w:firstLineChars="200" w:firstLine="420"/>
        <w:rPr>
          <w:rFonts w:ascii="宋体" w:hAnsi="宋体"/>
          <w:bCs/>
          <w:szCs w:val="21"/>
        </w:rPr>
      </w:pPr>
      <w:r>
        <w:rPr>
          <w:rFonts w:ascii="宋体" w:hAnsi="宋体" w:hint="eastAsia"/>
          <w:bCs/>
          <w:szCs w:val="21"/>
        </w:rPr>
        <w:t>3）未平仓的股票期权合约面值不得超过基金资产净值的 20%。其中，合约面值按照行权价乘以合约乘数计算；</w:t>
      </w:r>
    </w:p>
    <w:p w:rsidR="000E520F" w:rsidRDefault="00D34D5D">
      <w:pPr>
        <w:spacing w:line="360" w:lineRule="auto"/>
        <w:ind w:firstLineChars="200" w:firstLine="420"/>
        <w:rPr>
          <w:rFonts w:ascii="宋体" w:hAnsi="宋体"/>
          <w:bCs/>
          <w:szCs w:val="21"/>
        </w:rPr>
      </w:pPr>
      <w:r>
        <w:rPr>
          <w:rFonts w:ascii="宋体" w:hAnsi="宋体" w:hint="eastAsia"/>
          <w:bCs/>
          <w:szCs w:val="21"/>
        </w:rPr>
        <w:t>（14）本基金资产总值不得超过基金资产净值的140%；</w:t>
      </w:r>
    </w:p>
    <w:p w:rsidR="000E520F" w:rsidRDefault="00D34D5D">
      <w:pPr>
        <w:spacing w:line="360" w:lineRule="auto"/>
        <w:ind w:firstLineChars="200" w:firstLine="420"/>
        <w:rPr>
          <w:rFonts w:ascii="宋体" w:hAnsi="宋体"/>
          <w:bCs/>
          <w:szCs w:val="21"/>
        </w:rPr>
      </w:pPr>
      <w:r>
        <w:rPr>
          <w:rFonts w:ascii="宋体" w:hAnsi="宋体" w:hint="eastAsia"/>
          <w:bCs/>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0E520F" w:rsidRDefault="00D34D5D">
      <w:pPr>
        <w:spacing w:line="360" w:lineRule="auto"/>
        <w:ind w:firstLineChars="200" w:firstLine="420"/>
        <w:rPr>
          <w:rFonts w:ascii="宋体" w:hAnsi="宋体"/>
          <w:bCs/>
          <w:szCs w:val="21"/>
        </w:rPr>
      </w:pPr>
      <w:r>
        <w:rPr>
          <w:rFonts w:ascii="宋体" w:hAnsi="宋体" w:hint="eastAsia"/>
          <w:bCs/>
          <w:szCs w:val="21"/>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E520F" w:rsidRDefault="00D34D5D">
      <w:pPr>
        <w:spacing w:line="360" w:lineRule="auto"/>
        <w:ind w:firstLineChars="200" w:firstLine="420"/>
        <w:rPr>
          <w:rFonts w:ascii="宋体" w:hAnsi="宋体"/>
          <w:bCs/>
          <w:szCs w:val="21"/>
        </w:rPr>
      </w:pPr>
      <w:r>
        <w:rPr>
          <w:rFonts w:ascii="宋体" w:hAnsi="宋体" w:hint="eastAsia"/>
          <w:bCs/>
          <w:szCs w:val="21"/>
        </w:rPr>
        <w:t>（17）本基金与私募类证券资管产品及中国证监会认定的其他主体为交易对手开展逆回购交易的，可接受质押品的资质要求应当与基金合同约定的投资范围保持一致；</w:t>
      </w:r>
    </w:p>
    <w:p w:rsidR="000E520F" w:rsidRDefault="00D34D5D">
      <w:pPr>
        <w:spacing w:line="360" w:lineRule="auto"/>
        <w:ind w:firstLineChars="200" w:firstLine="420"/>
        <w:rPr>
          <w:rFonts w:ascii="宋体" w:hAnsi="宋体"/>
          <w:bCs/>
          <w:szCs w:val="21"/>
        </w:rPr>
      </w:pPr>
      <w:r>
        <w:rPr>
          <w:rFonts w:ascii="宋体" w:hAnsi="宋体" w:hint="eastAsia"/>
          <w:bCs/>
          <w:szCs w:val="21"/>
        </w:rPr>
        <w:t>（18）本基金参与融资的，每个交易日日终，本基金持有的融资买入股票与其他有价证券市值之和，不得超过基金资产净值的95%；</w:t>
      </w:r>
    </w:p>
    <w:p w:rsidR="000E520F" w:rsidRDefault="00D34D5D">
      <w:pPr>
        <w:spacing w:line="360" w:lineRule="auto"/>
        <w:ind w:firstLineChars="200" w:firstLine="420"/>
        <w:rPr>
          <w:rFonts w:ascii="宋体" w:hAnsi="宋体"/>
          <w:bCs/>
          <w:szCs w:val="21"/>
        </w:rPr>
      </w:pPr>
      <w:r>
        <w:rPr>
          <w:rFonts w:ascii="宋体" w:hAnsi="宋体" w:hint="eastAsia"/>
          <w:bCs/>
          <w:szCs w:val="21"/>
        </w:rPr>
        <w:t>（19）本基金不持有具有信用保护卖方属性的信用衍生品，不持有合约类信用衍生品，本基金持有的信用衍生品名义本金不得超过本基金中所对应受保护债券面值的100%；</w:t>
      </w:r>
    </w:p>
    <w:p w:rsidR="000E520F" w:rsidRDefault="00D34D5D">
      <w:pPr>
        <w:spacing w:line="360" w:lineRule="auto"/>
        <w:ind w:firstLineChars="200" w:firstLine="420"/>
        <w:rPr>
          <w:rFonts w:ascii="宋体" w:hAnsi="宋体"/>
          <w:bCs/>
          <w:szCs w:val="21"/>
        </w:rPr>
      </w:pPr>
      <w:r>
        <w:rPr>
          <w:rFonts w:ascii="宋体" w:hAnsi="宋体" w:hint="eastAsia"/>
          <w:bCs/>
          <w:szCs w:val="21"/>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0E520F" w:rsidRDefault="00D34D5D">
      <w:pPr>
        <w:spacing w:line="360" w:lineRule="auto"/>
        <w:ind w:firstLineChars="200" w:firstLine="420"/>
        <w:rPr>
          <w:rFonts w:ascii="宋体" w:hAnsi="宋体"/>
          <w:bCs/>
          <w:szCs w:val="21"/>
        </w:rPr>
      </w:pPr>
      <w:r>
        <w:rPr>
          <w:rFonts w:ascii="宋体" w:hAnsi="宋体" w:hint="eastAsia"/>
          <w:bCs/>
          <w:szCs w:val="21"/>
        </w:rPr>
        <w:t>（21）法律法规及中国证监会规定的和《基金合同》约定的其他投资限制。</w:t>
      </w:r>
    </w:p>
    <w:p w:rsidR="000E520F" w:rsidRDefault="00D34D5D">
      <w:pPr>
        <w:spacing w:line="360" w:lineRule="auto"/>
        <w:ind w:firstLineChars="200" w:firstLine="420"/>
        <w:rPr>
          <w:rFonts w:ascii="宋体" w:hAnsi="宋体"/>
          <w:bCs/>
          <w:szCs w:val="21"/>
        </w:rPr>
      </w:pPr>
      <w:r>
        <w:rPr>
          <w:rFonts w:ascii="宋体" w:hAnsi="宋体" w:hint="eastAsia"/>
          <w:bCs/>
          <w:szCs w:val="21"/>
        </w:rPr>
        <w:t>除上述（2）、（9）、（16）、（17）、（20）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rsidR="000E520F" w:rsidRDefault="00D34D5D">
      <w:pPr>
        <w:spacing w:line="360" w:lineRule="auto"/>
        <w:ind w:firstLineChars="200" w:firstLine="42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w:t>
      </w:r>
      <w:r>
        <w:rPr>
          <w:rFonts w:ascii="宋体" w:hAnsi="宋体" w:hint="eastAsia"/>
          <w:bCs/>
          <w:szCs w:val="21"/>
        </w:rPr>
        <w:lastRenderedPageBreak/>
        <w:t>托管人对基金的投资的监督与检查自基金合同生效之日起开始。</w:t>
      </w:r>
    </w:p>
    <w:p w:rsidR="000E520F" w:rsidRDefault="00D34D5D">
      <w:pPr>
        <w:spacing w:line="360" w:lineRule="auto"/>
        <w:ind w:firstLineChars="200" w:firstLine="420"/>
        <w:rPr>
          <w:rFonts w:ascii="宋体" w:hAnsi="宋体"/>
          <w:bCs/>
          <w:szCs w:val="21"/>
        </w:rPr>
      </w:pPr>
      <w:r>
        <w:rPr>
          <w:rFonts w:ascii="宋体" w:hAnsi="宋体" w:hint="eastAsia"/>
          <w:bCs/>
          <w:szCs w:val="21"/>
        </w:rPr>
        <w:t>法律法规或监管部门取消或变更上述限制，如适用于本基金，基金管理人在履行适当程序后，则本基金投资不再受相关限制，或以变更后的规定为准。</w:t>
      </w:r>
    </w:p>
    <w:p w:rsidR="000E520F" w:rsidRDefault="00D34D5D">
      <w:pPr>
        <w:spacing w:line="360" w:lineRule="auto"/>
        <w:ind w:firstLineChars="200" w:firstLine="420"/>
        <w:rPr>
          <w:bCs/>
          <w:szCs w:val="21"/>
        </w:rPr>
      </w:pPr>
      <w:r>
        <w:rPr>
          <w:bCs/>
          <w:szCs w:val="21"/>
        </w:rPr>
        <w:t>2</w:t>
      </w:r>
      <w:r>
        <w:rPr>
          <w:rFonts w:hint="eastAsia"/>
          <w:bCs/>
          <w:szCs w:val="21"/>
        </w:rPr>
        <w:t>、</w:t>
      </w:r>
      <w:r>
        <w:rPr>
          <w:bCs/>
          <w:szCs w:val="21"/>
        </w:rPr>
        <w:t>禁止行为</w:t>
      </w:r>
    </w:p>
    <w:p w:rsidR="000E520F" w:rsidRDefault="00D34D5D">
      <w:pPr>
        <w:spacing w:line="360" w:lineRule="auto"/>
        <w:ind w:firstLineChars="200" w:firstLine="420"/>
        <w:rPr>
          <w:bCs/>
          <w:szCs w:val="21"/>
        </w:rPr>
      </w:pPr>
      <w:r>
        <w:rPr>
          <w:bCs/>
          <w:szCs w:val="21"/>
        </w:rPr>
        <w:t>为维护基金份额持有人的合法权益，基金财产不得用于下列投资或者活动：</w:t>
      </w:r>
    </w:p>
    <w:p w:rsidR="000E520F" w:rsidRDefault="00D34D5D">
      <w:pPr>
        <w:spacing w:line="360" w:lineRule="auto"/>
        <w:ind w:firstLineChars="200" w:firstLine="420"/>
        <w:rPr>
          <w:bCs/>
          <w:szCs w:val="21"/>
        </w:rPr>
      </w:pPr>
      <w:r>
        <w:rPr>
          <w:bCs/>
          <w:szCs w:val="21"/>
        </w:rPr>
        <w:t>（</w:t>
      </w:r>
      <w:r>
        <w:rPr>
          <w:bCs/>
          <w:szCs w:val="21"/>
        </w:rPr>
        <w:t>1</w:t>
      </w:r>
      <w:r>
        <w:rPr>
          <w:bCs/>
          <w:szCs w:val="21"/>
        </w:rPr>
        <w:t>）承销证券；</w:t>
      </w:r>
    </w:p>
    <w:p w:rsidR="000E520F" w:rsidRDefault="00D34D5D">
      <w:pPr>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0E520F" w:rsidRDefault="00D34D5D">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0E520F" w:rsidRDefault="00D34D5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）买卖其他基金份额，但是中国证监会另有规定的除外；</w:t>
      </w:r>
    </w:p>
    <w:p w:rsidR="000E520F" w:rsidRDefault="00D34D5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）向其基金管理人、基金托管人出资；</w:t>
      </w:r>
    </w:p>
    <w:p w:rsidR="000E520F" w:rsidRDefault="00D34D5D">
      <w:pPr>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0E520F" w:rsidRDefault="00D34D5D">
      <w:pPr>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0E520F" w:rsidRDefault="00D34D5D">
      <w:pPr>
        <w:spacing w:line="360" w:lineRule="auto"/>
        <w:ind w:firstLineChars="200" w:firstLine="420"/>
        <w:rPr>
          <w:bCs/>
          <w:szCs w:val="21"/>
        </w:rPr>
      </w:pPr>
      <w:bookmarkStart w:id="79" w:name="_Hlk36118847"/>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79"/>
    <w:p w:rsidR="000E520F" w:rsidRDefault="00D34D5D">
      <w:pPr>
        <w:spacing w:line="360" w:lineRule="auto"/>
        <w:ind w:firstLineChars="200" w:firstLine="420"/>
        <w:rPr>
          <w:bCs/>
          <w:szCs w:val="21"/>
        </w:rPr>
      </w:pPr>
      <w:r>
        <w:rPr>
          <w:rFonts w:hint="eastAsia"/>
          <w:bCs/>
          <w:szCs w:val="21"/>
        </w:rPr>
        <w:t>法律、行政法规或监管部门取消</w:t>
      </w:r>
      <w:bookmarkStart w:id="80" w:name="_Hlk37259563"/>
      <w:r>
        <w:rPr>
          <w:rFonts w:hint="eastAsia"/>
          <w:bCs/>
          <w:szCs w:val="21"/>
        </w:rPr>
        <w:t>或变更</w:t>
      </w:r>
      <w:bookmarkEnd w:id="80"/>
      <w:r>
        <w:rPr>
          <w:rFonts w:hint="eastAsia"/>
          <w:bCs/>
          <w:szCs w:val="21"/>
        </w:rPr>
        <w:t>上述禁止性规定，如适用于本基金，基金管理人在履行适当程序后，则本基金投资不再受相关限制</w:t>
      </w:r>
      <w:bookmarkStart w:id="81" w:name="_Hlk37259571"/>
      <w:r>
        <w:rPr>
          <w:rFonts w:hint="eastAsia"/>
          <w:bCs/>
          <w:szCs w:val="21"/>
        </w:rPr>
        <w:t>或以变更后的规定为准</w:t>
      </w:r>
      <w:bookmarkEnd w:id="81"/>
      <w:r>
        <w:rPr>
          <w:rFonts w:hint="eastAsia"/>
          <w:bCs/>
          <w:szCs w:val="21"/>
        </w:rPr>
        <w:t>。</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rsidR="000E520F" w:rsidRDefault="00D34D5D">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本基金的业绩比较基准为：中证港股通综合指数（</w:t>
      </w:r>
      <w:r>
        <w:rPr>
          <w:rFonts w:ascii="Arial Unicode MS" w:hAnsi="Arial Unicode MS" w:hint="eastAsia"/>
          <w:szCs w:val="21"/>
        </w:rPr>
        <w:t>CNY</w:t>
      </w:r>
      <w:r>
        <w:rPr>
          <w:rFonts w:ascii="Arial Unicode MS" w:hAnsi="Arial Unicode MS" w:hint="eastAsia"/>
          <w:szCs w:val="21"/>
        </w:rPr>
        <w:t>）收益率</w:t>
      </w:r>
      <w:r>
        <w:rPr>
          <w:rFonts w:ascii="Arial Unicode MS" w:hAnsi="Arial Unicode MS" w:hint="eastAsia"/>
          <w:szCs w:val="21"/>
        </w:rPr>
        <w:t>*65%+</w:t>
      </w:r>
      <w:r>
        <w:rPr>
          <w:rFonts w:ascii="Arial Unicode MS" w:hAnsi="Arial Unicode MS" w:hint="eastAsia"/>
          <w:szCs w:val="21"/>
        </w:rPr>
        <w:t>沪深</w:t>
      </w:r>
      <w:r>
        <w:rPr>
          <w:rFonts w:ascii="Arial Unicode MS" w:hAnsi="Arial Unicode MS" w:hint="eastAsia"/>
          <w:szCs w:val="21"/>
        </w:rPr>
        <w:t>300</w:t>
      </w:r>
      <w:r w:rsidR="00AA0B42">
        <w:rPr>
          <w:rFonts w:ascii="Arial Unicode MS" w:hAnsi="Arial Unicode MS" w:hint="eastAsia"/>
          <w:szCs w:val="21"/>
        </w:rPr>
        <w:t>指数</w:t>
      </w:r>
      <w:r>
        <w:rPr>
          <w:rFonts w:ascii="Arial Unicode MS" w:hAnsi="Arial Unicode MS" w:hint="eastAsia"/>
          <w:szCs w:val="21"/>
        </w:rPr>
        <w:t>收益率</w:t>
      </w:r>
      <w:r>
        <w:rPr>
          <w:rFonts w:ascii="Arial Unicode MS" w:hAnsi="Arial Unicode MS" w:hint="eastAsia"/>
          <w:szCs w:val="21"/>
        </w:rPr>
        <w:t>*15%+</w:t>
      </w:r>
      <w:r>
        <w:rPr>
          <w:rFonts w:ascii="Arial Unicode MS" w:hAnsi="Arial Unicode MS" w:hint="eastAsia"/>
          <w:szCs w:val="21"/>
        </w:rPr>
        <w:t>中债综合财富（总值）指数收益率×</w:t>
      </w:r>
      <w:r>
        <w:rPr>
          <w:rFonts w:ascii="Arial Unicode MS" w:hAnsi="Arial Unicode MS" w:hint="eastAsia"/>
          <w:szCs w:val="21"/>
        </w:rPr>
        <w:t>20%</w:t>
      </w:r>
    </w:p>
    <w:p w:rsidR="000E520F" w:rsidRDefault="00D34D5D">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中证港股通综合指数（</w:t>
      </w:r>
      <w:r>
        <w:rPr>
          <w:rFonts w:ascii="Arial Unicode MS" w:hAnsi="Arial Unicode MS" w:hint="eastAsia"/>
          <w:szCs w:val="21"/>
        </w:rPr>
        <w:t>CNY</w:t>
      </w:r>
      <w:r>
        <w:rPr>
          <w:rFonts w:ascii="Arial Unicode MS" w:hAnsi="Arial Unicode MS" w:hint="eastAsia"/>
          <w:szCs w:val="21"/>
        </w:rPr>
        <w:t>）从港股通合资格标的内选取中国内地企业组成样本股，可以较好地代表港股市场业绩表现，适合作为本基金港股股票组合的业绩比较基准。沪深</w:t>
      </w:r>
      <w:r>
        <w:rPr>
          <w:rFonts w:ascii="Arial Unicode MS" w:hAnsi="Arial Unicode MS" w:hint="eastAsia"/>
          <w:szCs w:val="21"/>
        </w:rPr>
        <w:t>300</w:t>
      </w:r>
      <w:r>
        <w:rPr>
          <w:rFonts w:ascii="Arial Unicode MS" w:hAnsi="Arial Unicode MS" w:hint="eastAsia"/>
          <w:szCs w:val="21"/>
        </w:rPr>
        <w:t>指数由上海和深圳证券市场中市值大、流动性好的</w:t>
      </w:r>
      <w:r>
        <w:rPr>
          <w:rFonts w:ascii="Arial Unicode MS" w:hAnsi="Arial Unicode MS" w:hint="eastAsia"/>
          <w:szCs w:val="21"/>
        </w:rPr>
        <w:t>300</w:t>
      </w:r>
      <w:r>
        <w:rPr>
          <w:rFonts w:ascii="Arial Unicode MS" w:hAnsi="Arial Unicode MS" w:hint="eastAsia"/>
          <w:szCs w:val="21"/>
        </w:rPr>
        <w:t>只股票组成，综合反映中国</w:t>
      </w:r>
      <w:r>
        <w:rPr>
          <w:rFonts w:ascii="Arial Unicode MS" w:hAnsi="Arial Unicode MS" w:hint="eastAsia"/>
          <w:szCs w:val="21"/>
        </w:rPr>
        <w:t>A</w:t>
      </w:r>
      <w:r>
        <w:rPr>
          <w:rFonts w:ascii="Arial Unicode MS" w:hAnsi="Arial Unicode MS" w:hint="eastAsia"/>
          <w:szCs w:val="21"/>
        </w:rPr>
        <w:t>股市场上市股票价格的整体表现。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rsidR="000E520F" w:rsidRDefault="00D34D5D">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基于本基金的投资范围和投资比例限制，选用上述业绩比较基准能够较好的反映本基金的风险收益特征。</w:t>
      </w:r>
    </w:p>
    <w:p w:rsidR="000E520F" w:rsidRDefault="00D34D5D">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如果相关法律法规发生变化，或者有更权威的、更能为市场普遍接受的业绩比较基准推出，或者市场发生变化导致本业绩比较基准不再适用或本业绩比较基准采用的指数停止发布或更改名称，经基金管理人与基金托管人协商，本基金可以在报中国证监会备案后变更业绩比较基准并及时公告，而无须召开基金份额持有人大会。</w:t>
      </w:r>
    </w:p>
    <w:p w:rsidR="000E520F" w:rsidRDefault="00D34D5D">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rsidR="000E520F" w:rsidRDefault="00D34D5D">
      <w:pPr>
        <w:spacing w:line="360" w:lineRule="auto"/>
        <w:ind w:firstLineChars="200" w:firstLine="420"/>
        <w:rPr>
          <w:bCs/>
          <w:szCs w:val="21"/>
        </w:rPr>
      </w:pPr>
      <w:r>
        <w:rPr>
          <w:rFonts w:hint="eastAsia"/>
          <w:bCs/>
          <w:szCs w:val="21"/>
        </w:rPr>
        <w:t>本基金是混合型证券投资基金，其预期收益和预期风险水平高于债券型基金和货币市场基金，低于股票型基金。除了需要承担与境内证券投资基金类似的市场波动风险等一般投资风险之外，本基金还面临汇率风险、香港市场风险等境外证券市场投资所面临的特别投资风险。</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rsidR="000E520F" w:rsidRDefault="00D34D5D">
      <w:pPr>
        <w:spacing w:line="360" w:lineRule="auto"/>
        <w:ind w:firstLineChars="200" w:firstLine="420"/>
        <w:rPr>
          <w:rFonts w:ascii="Arial Unicode MS" w:hAnsi="Arial Unicode MS"/>
          <w:szCs w:val="21"/>
        </w:rPr>
      </w:pPr>
      <w:bookmarkStart w:id="82"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rsidR="000E520F" w:rsidRDefault="00D34D5D">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rsidR="000E520F" w:rsidRDefault="00D34D5D">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rsidR="000E520F" w:rsidRDefault="00D34D5D">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rsidR="000E520F" w:rsidRDefault="00D34D5D">
      <w:pPr>
        <w:spacing w:line="360" w:lineRule="auto"/>
        <w:ind w:firstLineChars="200" w:firstLine="422"/>
        <w:rPr>
          <w:rFonts w:ascii="Arial Unicode MS" w:hAnsi="Arial Unicode MS"/>
          <w:b/>
          <w:szCs w:val="21"/>
        </w:rPr>
      </w:pPr>
      <w:r>
        <w:rPr>
          <w:rFonts w:ascii="Arial Unicode MS" w:hAnsi="Arial Unicode MS" w:hint="eastAsia"/>
          <w:b/>
          <w:szCs w:val="21"/>
        </w:rPr>
        <w:t>八、侧袋机制的实施和投资运作安排</w:t>
      </w:r>
    </w:p>
    <w:p w:rsidR="000E520F" w:rsidRDefault="00D34D5D">
      <w:pPr>
        <w:spacing w:line="360" w:lineRule="auto"/>
        <w:ind w:firstLineChars="200" w:firstLine="420"/>
        <w:rPr>
          <w:bCs/>
          <w:szCs w:val="21"/>
        </w:rPr>
      </w:pPr>
      <w:bookmarkStart w:id="83" w:name="_Toc429490287"/>
      <w:bookmarkStart w:id="84" w:name="_Toc317088544"/>
      <w:bookmarkStart w:id="85" w:name="_Toc317088147"/>
      <w:bookmarkStart w:id="86" w:name="_Toc320887649"/>
      <w:bookmarkStart w:id="87" w:name="_Toc214873599"/>
      <w:bookmarkStart w:id="88" w:name="_Toc335232698"/>
      <w:bookmarkStart w:id="89" w:name="_Toc47604314"/>
      <w:bookmarkStart w:id="90" w:name="_Toc47622422"/>
      <w:bookmarkEnd w:id="82"/>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E520F" w:rsidRDefault="00D34D5D">
      <w:pPr>
        <w:spacing w:line="360" w:lineRule="auto"/>
        <w:ind w:firstLineChars="200" w:firstLine="420"/>
        <w:rPr>
          <w:bCs/>
          <w:szCs w:val="21"/>
        </w:rPr>
      </w:pPr>
      <w:r>
        <w:rPr>
          <w:rFonts w:hint="eastAsia"/>
          <w:bCs/>
          <w:szCs w:val="21"/>
        </w:rPr>
        <w:t>侧袋机制实施期间，本部分约定的投资组合比例、投资策略、组合限制、业绩比较基准、风险收益特征等约定仅适用于主袋账户。</w:t>
      </w:r>
    </w:p>
    <w:p w:rsidR="000E520F" w:rsidRDefault="00D34D5D">
      <w:pPr>
        <w:autoSpaceDE w:val="0"/>
        <w:autoSpaceDN w:val="0"/>
        <w:adjustRightInd w:val="0"/>
        <w:spacing w:line="360" w:lineRule="auto"/>
        <w:ind w:firstLine="420"/>
        <w:jc w:val="left"/>
        <w:rPr>
          <w:rFonts w:ascii="Arial Unicode MS" w:hAnsi="Arial Unicode MS"/>
          <w:b/>
          <w:bCs/>
          <w:szCs w:val="21"/>
        </w:rPr>
        <w:sectPr w:rsidR="000E520F">
          <w:footerReference w:type="default" r:id="rId35"/>
          <w:footerReference w:type="first" r:id="rId36"/>
          <w:pgSz w:w="11906" w:h="16838"/>
          <w:pgMar w:top="1440" w:right="1800" w:bottom="1440" w:left="1800" w:header="851" w:footer="992" w:gutter="0"/>
          <w:pgNumType w:start="1"/>
          <w:cols w:space="720"/>
          <w:titlePg/>
          <w:docGrid w:linePitch="312"/>
        </w:sectPr>
      </w:pPr>
      <w:r>
        <w:rPr>
          <w:rFonts w:hint="eastAsia"/>
          <w:bCs/>
          <w:szCs w:val="21"/>
        </w:rPr>
        <w:t>侧袋账户的实施条件、实施程序、运作安排、投资安排、特定资产的处置变现和支付等对投资者权益有重大影响的事项详见本招募说明书“侧袋机制”章节的规定。</w:t>
      </w:r>
    </w:p>
    <w:p w:rsidR="000E520F" w:rsidRDefault="00D34D5D">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83"/>
      <w:bookmarkEnd w:id="84"/>
      <w:bookmarkEnd w:id="85"/>
      <w:bookmarkEnd w:id="86"/>
      <w:bookmarkEnd w:id="87"/>
      <w:bookmarkEnd w:id="88"/>
      <w:bookmarkEnd w:id="89"/>
      <w:bookmarkEnd w:id="90"/>
    </w:p>
    <w:p w:rsidR="000E520F" w:rsidRDefault="000E520F">
      <w:pPr>
        <w:spacing w:line="360" w:lineRule="auto"/>
        <w:rPr>
          <w:rFonts w:ascii="Arial Unicode MS" w:hAnsi="Arial Unicode MS"/>
        </w:rPr>
      </w:pP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E520F" w:rsidRDefault="000E520F">
      <w:pPr>
        <w:spacing w:line="360" w:lineRule="auto"/>
        <w:ind w:firstLineChars="200" w:firstLine="422"/>
        <w:rPr>
          <w:rFonts w:ascii="Arial Unicode MS" w:hAnsi="Arial Unicode MS" w:cs="Arial"/>
          <w:b/>
          <w:szCs w:val="21"/>
        </w:rPr>
      </w:pPr>
    </w:p>
    <w:p w:rsidR="000E520F" w:rsidRDefault="000E520F">
      <w:pPr>
        <w:spacing w:line="360" w:lineRule="auto"/>
        <w:ind w:firstLineChars="200" w:firstLine="420"/>
        <w:rPr>
          <w:rFonts w:ascii="Arial Unicode MS" w:hAnsi="Arial Unicode MS" w:cs="Arial"/>
          <w:bCs/>
          <w:szCs w:val="21"/>
        </w:rPr>
      </w:pPr>
    </w:p>
    <w:p w:rsidR="000E520F" w:rsidRDefault="000E520F">
      <w:pPr>
        <w:spacing w:line="360" w:lineRule="auto"/>
        <w:ind w:firstLineChars="200" w:firstLine="420"/>
        <w:rPr>
          <w:rFonts w:ascii="Arial Unicode MS" w:hAnsi="Arial Unicode MS" w:cs="Arial"/>
          <w:szCs w:val="21"/>
        </w:rPr>
        <w:sectPr w:rsidR="000E520F">
          <w:footerReference w:type="first" r:id="rId37"/>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91" w:name="_Toc320887650"/>
      <w:bookmarkStart w:id="92" w:name="_Toc214873600"/>
      <w:bookmarkStart w:id="93" w:name="_Toc317088545"/>
      <w:bookmarkStart w:id="94" w:name="_Toc429490288"/>
      <w:bookmarkStart w:id="95" w:name="_Toc47604315"/>
      <w:bookmarkStart w:id="96" w:name="_Toc47622423"/>
      <w:bookmarkStart w:id="97" w:name="_Toc317088148"/>
      <w:bookmarkStart w:id="98" w:name="_Toc33523269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91"/>
      <w:bookmarkEnd w:id="92"/>
      <w:bookmarkEnd w:id="93"/>
      <w:bookmarkEnd w:id="94"/>
      <w:bookmarkEnd w:id="95"/>
      <w:bookmarkEnd w:id="96"/>
      <w:bookmarkEnd w:id="97"/>
      <w:bookmarkEnd w:id="98"/>
    </w:p>
    <w:p w:rsidR="000E520F" w:rsidRDefault="000E520F">
      <w:pPr>
        <w:spacing w:line="360" w:lineRule="auto"/>
        <w:rPr>
          <w:rFonts w:ascii="Arial Unicode MS" w:hAnsi="Arial Unicode MS"/>
        </w:rPr>
      </w:pPr>
    </w:p>
    <w:p w:rsidR="000E520F" w:rsidRDefault="00D34D5D">
      <w:pPr>
        <w:spacing w:line="360" w:lineRule="auto"/>
        <w:ind w:firstLineChars="200" w:firstLine="422"/>
        <w:rPr>
          <w:rFonts w:ascii="Arial Unicode MS" w:hAnsi="Arial Unicode MS" w:cs="Arial"/>
          <w:b/>
          <w:szCs w:val="21"/>
        </w:rPr>
      </w:pPr>
      <w:bookmarkStart w:id="99" w:name="_Toc530223193"/>
      <w:bookmarkStart w:id="100" w:name="_Toc317088149"/>
      <w:bookmarkStart w:id="101" w:name="_Toc320887651"/>
      <w:bookmarkStart w:id="102" w:name="_Toc214873601"/>
      <w:bookmarkStart w:id="103" w:name="_Toc317088546"/>
      <w:bookmarkStart w:id="104" w:name="_Toc335232700"/>
      <w:r>
        <w:rPr>
          <w:rFonts w:ascii="Arial Unicode MS" w:hAnsi="Arial Unicode MS" w:cs="Arial" w:hint="eastAsia"/>
          <w:b/>
          <w:szCs w:val="21"/>
        </w:rPr>
        <w:t>一、估值日</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）首次公开发行未上市的股票和债券，采用估值技术确定公允价值，在估值技术难以可靠计量公允价值的情况下，按成本估值；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、本基金投资信用衍生品，按照相关法律法规和行业协会的相关规定进行估值。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、汇率</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、本基金参与融资业务，按照相关法律法规和行业协会的相关规定进行估值。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、相关法律法规以及监管部门有强制规定的，从其规定。如有新增事项，按国家最新规定估值。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w:t>
      </w:r>
      <w:r>
        <w:rPr>
          <w:rFonts w:ascii="Arial Unicode MS" w:hAnsi="Arial Unicode MS" w:cs="Arial" w:hint="eastAsia"/>
          <w:szCs w:val="21"/>
        </w:rPr>
        <w:lastRenderedPageBreak/>
        <w:t>定暂停估值时除外。基金管理人每个工作日对基金资产估值后，将各类基金份额净值结果发送基金托管人，经基金托管人复核无误后，由基金管理人按规定对外公布。</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）估值错误的责任方对有关当事人的直接损失负责，不对间接损失负责，并且仅对估值错误的有关直接当事人负责，不对第三方负责。</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④由于基金管理人提供的信息错误（包括但不限于基金申购或赎回金额等），进而导致基金份额净值计算错误而引起的基金份额持有人和基金财产的损失，由基金管理人负责赔付。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Pr>
          <w:rFonts w:ascii="Arial Unicode MS" w:hAnsi="Arial Unicode MS" w:cs="Arial" w:hint="eastAsia"/>
          <w:szCs w:val="21"/>
        </w:rPr>
        <w:t>11</w:t>
      </w:r>
      <w:r>
        <w:rPr>
          <w:rFonts w:ascii="Arial Unicode MS" w:hAnsi="Arial Unicode MS" w:cs="Arial" w:hint="eastAsia"/>
          <w:szCs w:val="21"/>
        </w:rPr>
        <w:t>项进行估值时，所造成的误差不作为基金资产估值错误处理。</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有关会计制度变化或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十、实施侧袋机制期间的基金资产估值</w:t>
      </w:r>
    </w:p>
    <w:p w:rsidR="000E520F" w:rsidRDefault="00D34D5D">
      <w:pPr>
        <w:spacing w:line="360" w:lineRule="auto"/>
        <w:ind w:firstLineChars="200" w:firstLine="420"/>
        <w:rPr>
          <w:rFonts w:ascii="Arial Unicode MS" w:hAnsi="Arial Unicode MS" w:cs="Arial"/>
          <w:szCs w:val="21"/>
        </w:rPr>
        <w:sectPr w:rsidR="000E520F">
          <w:footerReference w:type="default" r:id="rId38"/>
          <w:pgSz w:w="12240" w:h="15840"/>
          <w:pgMar w:top="1440" w:right="1800" w:bottom="1440" w:left="1800" w:header="720" w:footer="720" w:gutter="0"/>
          <w:pgNumType w:start="1"/>
          <w:cols w:space="720"/>
        </w:sectPr>
      </w:pPr>
      <w:r>
        <w:rPr>
          <w:rFonts w:ascii="Arial Unicode MS" w:hAnsi="Arial Unicode MS" w:cs="Arial" w:hint="eastAsia"/>
          <w:szCs w:val="21"/>
        </w:rPr>
        <w:t>本基金实施侧袋机制的，应根据本部分的约定对主袋账户资产进行估值并披露主袋账户的基金资产净值和份额净值，暂停披露侧袋账户份额净值。</w:t>
      </w: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105" w:name="_Toc47622424"/>
      <w:bookmarkStart w:id="106" w:name="_Toc429490289"/>
      <w:bookmarkStart w:id="107" w:name="_Toc47604316"/>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9"/>
      <w:r>
        <w:rPr>
          <w:rFonts w:ascii="Arial Unicode MS" w:eastAsia="宋体" w:hAnsi="Arial Unicode MS" w:cs="Arial"/>
          <w:b/>
          <w:bCs/>
          <w:sz w:val="28"/>
          <w:szCs w:val="28"/>
        </w:rPr>
        <w:t>基金的收益分配</w:t>
      </w:r>
      <w:bookmarkEnd w:id="100"/>
      <w:bookmarkEnd w:id="101"/>
      <w:bookmarkEnd w:id="102"/>
      <w:bookmarkEnd w:id="103"/>
      <w:bookmarkEnd w:id="104"/>
      <w:bookmarkEnd w:id="105"/>
      <w:bookmarkEnd w:id="106"/>
      <w:bookmarkEnd w:id="107"/>
    </w:p>
    <w:p w:rsidR="000E520F" w:rsidRDefault="000E520F">
      <w:pPr>
        <w:snapToGrid w:val="0"/>
        <w:spacing w:line="360" w:lineRule="auto"/>
        <w:ind w:firstLineChars="200" w:firstLine="420"/>
        <w:rPr>
          <w:rFonts w:ascii="Arial Unicode MS" w:hAnsi="Arial Unicode MS" w:cs="Arial"/>
          <w:szCs w:val="21"/>
        </w:rPr>
      </w:pP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0E520F" w:rsidRDefault="00D34D5D">
      <w:pPr>
        <w:spacing w:line="360" w:lineRule="auto"/>
        <w:ind w:firstLineChars="225" w:firstLine="474"/>
        <w:rPr>
          <w:b/>
          <w:bCs/>
          <w:szCs w:val="21"/>
        </w:rPr>
      </w:pPr>
      <w:r>
        <w:rPr>
          <w:rFonts w:hint="eastAsia"/>
          <w:b/>
          <w:bCs/>
          <w:szCs w:val="21"/>
        </w:rPr>
        <w:lastRenderedPageBreak/>
        <w:t>七、实施侧袋机制期间的收益分配</w:t>
      </w:r>
    </w:p>
    <w:p w:rsidR="000E520F" w:rsidRDefault="00D34D5D" w:rsidP="00D34D5D">
      <w:pPr>
        <w:spacing w:line="360" w:lineRule="auto"/>
        <w:ind w:firstLineChars="225" w:firstLine="473"/>
        <w:rPr>
          <w:bCs/>
          <w:szCs w:val="21"/>
        </w:rPr>
        <w:sectPr w:rsidR="000E520F">
          <w:footerReference w:type="default" r:id="rId39"/>
          <w:footerReference w:type="first" r:id="rId40"/>
          <w:pgSz w:w="12240" w:h="15840"/>
          <w:pgMar w:top="1440" w:right="1800" w:bottom="1440" w:left="1800" w:header="720" w:footer="720" w:gutter="0"/>
          <w:pgNumType w:start="1"/>
          <w:cols w:space="720"/>
          <w:titlePg/>
        </w:sectPr>
      </w:pPr>
      <w:r>
        <w:rPr>
          <w:rFonts w:hint="eastAsia"/>
          <w:bCs/>
          <w:szCs w:val="21"/>
        </w:rPr>
        <w:t>本基金实施侧袋机制的，侧袋账户不进行收益分配，详见本招募说明书“侧袋机制”章节的规定。</w:t>
      </w: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108" w:name="_Toc317088547"/>
      <w:bookmarkStart w:id="109" w:name="_Toc214873602"/>
      <w:bookmarkStart w:id="110" w:name="_Toc12357181"/>
      <w:bookmarkStart w:id="111" w:name="_Toc21073401"/>
      <w:bookmarkStart w:id="112" w:name="_Toc429490290"/>
      <w:bookmarkStart w:id="113" w:name="_Toc147463128"/>
      <w:bookmarkStart w:id="114" w:name="_Toc317088150"/>
      <w:bookmarkStart w:id="115" w:name="_Toc335232701"/>
      <w:bookmarkStart w:id="116" w:name="_Toc47604317"/>
      <w:bookmarkStart w:id="117" w:name="_Toc320887652"/>
      <w:bookmarkStart w:id="118"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8"/>
      <w:bookmarkEnd w:id="109"/>
      <w:bookmarkEnd w:id="110"/>
      <w:bookmarkEnd w:id="111"/>
      <w:bookmarkEnd w:id="112"/>
      <w:bookmarkEnd w:id="113"/>
      <w:bookmarkEnd w:id="114"/>
      <w:bookmarkEnd w:id="115"/>
      <w:bookmarkEnd w:id="116"/>
      <w:bookmarkEnd w:id="117"/>
      <w:bookmarkEnd w:id="118"/>
    </w:p>
    <w:p w:rsidR="000E520F" w:rsidRDefault="000E520F">
      <w:pPr>
        <w:snapToGrid w:val="0"/>
        <w:spacing w:line="360" w:lineRule="auto"/>
        <w:ind w:firstLineChars="200" w:firstLine="422"/>
        <w:rPr>
          <w:rFonts w:ascii="Arial Unicode MS" w:hAnsi="Arial Unicode MS" w:cs="Arial"/>
          <w:b/>
          <w:szCs w:val="21"/>
        </w:rPr>
      </w:pPr>
    </w:p>
    <w:p w:rsidR="000E520F" w:rsidRDefault="00D34D5D">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年费率计提。管理费的计算方法如下：</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个工作日内从基金财产中一次性支付给基金管理人。若遇法定节假日、休息日或不可抗力等致使无法按时支付的，顺延至最近可支付日支付。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年费率计提。托管费的计算方法如下：</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为每日应计提的基金托管费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个工作日内从基金财产中一次性支取。若遇法定节假日、休息日或不可抗力等致使无法按时支付的，顺延至最近可支付日支付。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类份额的销售服务费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0.80%</w:t>
      </w:r>
      <w:r>
        <w:rPr>
          <w:rFonts w:ascii="Arial Unicode MS" w:hAnsi="Arial Unicode MS" w:cs="Arial" w:hint="eastAsia"/>
          <w:szCs w:val="21"/>
        </w:rPr>
        <w:t>。</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0.80%</w:t>
      </w:r>
      <w:r>
        <w:rPr>
          <w:rFonts w:ascii="Arial Unicode MS" w:hAnsi="Arial Unicode MS" w:cs="Arial" w:hint="eastAsia"/>
          <w:szCs w:val="21"/>
        </w:rPr>
        <w:t>年费率计提。计算方法如下：</w:t>
      </w:r>
      <w:r>
        <w:rPr>
          <w:rFonts w:ascii="Arial Unicode MS" w:hAnsi="Arial Unicode MS" w:cs="Arial" w:hint="eastAsia"/>
          <w:szCs w:val="21"/>
        </w:rPr>
        <w:t xml:space="preserve"> </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个工作日内从基金财产中一次性划出，由登记机构代收，登记机构收到后按相关合同规定支付给基金销售机构等。若遇法定节假日、休息日或不可抗力等致使无法按时支付的，顺延至最近可支付日支付。</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四、实施侧袋机制期间的基金费用</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本基金实施侧袋机制的，与侧袋账户有关的费用可以从侧袋账户中列支，但应待侧袋账</w:t>
      </w:r>
      <w:r>
        <w:rPr>
          <w:rFonts w:ascii="Arial Unicode MS" w:hAnsi="Arial Unicode MS" w:cs="Arial" w:hint="eastAsia"/>
          <w:szCs w:val="21"/>
        </w:rPr>
        <w:lastRenderedPageBreak/>
        <w:t>户资产变现后方可列支，有关费用可酌情收取或减免，但不得收取管理费，详见本招募说明书“侧袋机制”章节的规定。</w:t>
      </w:r>
    </w:p>
    <w:p w:rsidR="000E520F" w:rsidRDefault="00D34D5D">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、基金税收</w:t>
      </w:r>
    </w:p>
    <w:p w:rsidR="000E520F" w:rsidRDefault="00D34D5D">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E520F" w:rsidRDefault="000E520F">
      <w:pPr>
        <w:spacing w:line="360" w:lineRule="auto"/>
        <w:rPr>
          <w:rFonts w:ascii="Arial Unicode MS" w:hAnsi="Arial Unicode MS"/>
          <w:bCs/>
          <w:szCs w:val="21"/>
        </w:rPr>
        <w:sectPr w:rsidR="000E520F">
          <w:footerReference w:type="default" r:id="rId41"/>
          <w:footerReference w:type="first" r:id="rId42"/>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119" w:name="_Hlt88827255"/>
      <w:bookmarkStart w:id="120" w:name="_Toc320887653"/>
      <w:bookmarkStart w:id="121" w:name="_Toc47622426"/>
      <w:bookmarkStart w:id="122" w:name="_Toc317088548"/>
      <w:bookmarkStart w:id="123" w:name="_Toc335232702"/>
      <w:bookmarkStart w:id="124" w:name="_Toc47604318"/>
      <w:bookmarkStart w:id="125" w:name="_Toc214873603"/>
      <w:bookmarkStart w:id="126" w:name="_Toc317088151"/>
      <w:bookmarkStart w:id="127" w:name="_Toc429490291"/>
      <w:bookmarkEnd w:id="11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20"/>
      <w:bookmarkEnd w:id="121"/>
      <w:bookmarkEnd w:id="122"/>
      <w:bookmarkEnd w:id="123"/>
      <w:bookmarkEnd w:id="124"/>
      <w:bookmarkEnd w:id="125"/>
      <w:bookmarkEnd w:id="126"/>
      <w:bookmarkEnd w:id="127"/>
    </w:p>
    <w:p w:rsidR="000E520F" w:rsidRDefault="000E520F">
      <w:pPr>
        <w:spacing w:line="360" w:lineRule="auto"/>
        <w:rPr>
          <w:rFonts w:ascii="Arial Unicode MS" w:hAnsi="Arial Unicode MS"/>
        </w:rPr>
      </w:pPr>
    </w:p>
    <w:p w:rsidR="000E520F" w:rsidRDefault="00D34D5D">
      <w:pPr>
        <w:spacing w:line="360" w:lineRule="auto"/>
        <w:ind w:firstLineChars="200" w:firstLine="422"/>
        <w:rPr>
          <w:rFonts w:ascii="Arial Unicode MS" w:hAnsi="Arial Unicode MS"/>
          <w:b/>
          <w:bCs/>
          <w:szCs w:val="21"/>
        </w:rPr>
      </w:pPr>
      <w:bookmarkStart w:id="128" w:name="_Toc79978642"/>
      <w:bookmarkStart w:id="129" w:name="_Toc214873604"/>
      <w:r>
        <w:rPr>
          <w:rFonts w:ascii="Arial Unicode MS" w:hAnsi="Arial Unicode MS"/>
          <w:b/>
          <w:bCs/>
          <w:szCs w:val="21"/>
        </w:rPr>
        <w:t>一、基金会计政策</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rsidR="000E520F" w:rsidRDefault="00D34D5D">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rsidR="000E520F" w:rsidRDefault="00D34D5D">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30" w:name="_Hlt4221115"/>
      <w:bookmarkEnd w:id="130"/>
      <w:r>
        <w:rPr>
          <w:rFonts w:ascii="Arial Unicode MS" w:hAnsi="Arial Unicode MS"/>
          <w:bCs/>
          <w:szCs w:val="21"/>
        </w:rPr>
        <w:t>基金管理人认为有充足理由更换会计师事务所，须通报基金托管人。更换会计师事务所需</w:t>
      </w:r>
      <w:r>
        <w:rPr>
          <w:rFonts w:ascii="Arial Unicode MS" w:hAnsi="Arial Unicode MS" w:hint="eastAsia"/>
          <w:bCs/>
          <w:szCs w:val="21"/>
        </w:rPr>
        <w:t>按规定</w:t>
      </w:r>
      <w:r>
        <w:rPr>
          <w:rFonts w:ascii="Arial Unicode MS" w:hAnsi="Arial Unicode MS"/>
          <w:bCs/>
          <w:szCs w:val="21"/>
        </w:rPr>
        <w:t>在</w:t>
      </w:r>
      <w:r>
        <w:rPr>
          <w:rFonts w:ascii="Arial Unicode MS" w:hAnsi="Arial Unicode MS" w:hint="eastAsia"/>
          <w:bCs/>
          <w:szCs w:val="21"/>
        </w:rPr>
        <w:t>规定媒介</w:t>
      </w:r>
      <w:r>
        <w:rPr>
          <w:rFonts w:ascii="Arial Unicode MS" w:hAnsi="Arial Unicode MS"/>
          <w:bCs/>
          <w:szCs w:val="21"/>
        </w:rPr>
        <w:t>公告。</w:t>
      </w:r>
    </w:p>
    <w:p w:rsidR="000E520F" w:rsidRDefault="000E520F">
      <w:pPr>
        <w:spacing w:line="360" w:lineRule="auto"/>
        <w:rPr>
          <w:rFonts w:ascii="Arial Unicode MS" w:hAnsi="Arial Unicode MS"/>
          <w:bCs/>
          <w:szCs w:val="21"/>
        </w:rPr>
        <w:sectPr w:rsidR="000E520F">
          <w:footerReference w:type="first" r:id="rId43"/>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ind w:firstLineChars="150" w:firstLine="422"/>
        <w:rPr>
          <w:rFonts w:ascii="Arial Unicode MS" w:eastAsia="宋体" w:hAnsi="Arial Unicode MS"/>
          <w:b/>
          <w:sz w:val="28"/>
          <w:szCs w:val="28"/>
        </w:rPr>
      </w:pPr>
      <w:bookmarkStart w:id="131" w:name="_Toc47604319"/>
      <w:bookmarkStart w:id="132" w:name="_Toc320887654"/>
      <w:bookmarkStart w:id="133" w:name="_Toc317088549"/>
      <w:bookmarkStart w:id="134" w:name="_Toc47622427"/>
      <w:bookmarkStart w:id="135" w:name="_Toc335232703"/>
      <w:bookmarkStart w:id="136" w:name="_Toc317088152"/>
      <w:bookmarkStart w:id="137" w:name="_Toc429490292"/>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31"/>
      <w:bookmarkEnd w:id="132"/>
      <w:bookmarkEnd w:id="133"/>
      <w:bookmarkEnd w:id="134"/>
      <w:bookmarkEnd w:id="135"/>
      <w:bookmarkEnd w:id="136"/>
      <w:bookmarkEnd w:id="137"/>
    </w:p>
    <w:p w:rsidR="000E520F" w:rsidRDefault="000E520F">
      <w:pPr>
        <w:spacing w:line="360" w:lineRule="auto"/>
        <w:rPr>
          <w:rFonts w:ascii="Arial Unicode MS" w:hAnsi="Arial Unicode MS"/>
        </w:rPr>
      </w:pPr>
    </w:p>
    <w:p w:rsidR="000E520F" w:rsidRDefault="00D34D5D">
      <w:pPr>
        <w:spacing w:line="360" w:lineRule="auto"/>
        <w:ind w:firstLineChars="200" w:firstLine="422"/>
        <w:rPr>
          <w:b/>
          <w:bCs/>
          <w:szCs w:val="21"/>
        </w:rPr>
      </w:pPr>
      <w:bookmarkStart w:id="138" w:name="_Toc21073398"/>
      <w:bookmarkStart w:id="139" w:name="_Toc147463125"/>
      <w:bookmarkStart w:id="140" w:name="_Toc335232704"/>
      <w:bookmarkStart w:id="141" w:name="_Toc214873605"/>
      <w:bookmarkStart w:id="142" w:name="_Toc317088153"/>
      <w:bookmarkStart w:id="143" w:name="_Toc12357178"/>
      <w:bookmarkStart w:id="144" w:name="_Toc317088550"/>
      <w:bookmarkStart w:id="145" w:name="_Toc320887655"/>
      <w:bookmarkEnd w:id="128"/>
      <w:bookmarkEnd w:id="129"/>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rsidR="000E520F" w:rsidRDefault="00D34D5D">
      <w:pPr>
        <w:spacing w:line="360" w:lineRule="auto"/>
        <w:ind w:firstLineChars="200" w:firstLine="422"/>
        <w:rPr>
          <w:b/>
          <w:bCs/>
          <w:szCs w:val="21"/>
        </w:rPr>
      </w:pPr>
      <w:r>
        <w:rPr>
          <w:rFonts w:hint="eastAsia"/>
          <w:b/>
          <w:bCs/>
          <w:szCs w:val="21"/>
        </w:rPr>
        <w:t>二、信息披露义务人</w:t>
      </w:r>
    </w:p>
    <w:p w:rsidR="000E520F" w:rsidRDefault="00D34D5D">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rsidR="000E520F" w:rsidRDefault="00D34D5D">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0E520F" w:rsidRDefault="00D34D5D">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rsidR="000E520F" w:rsidRDefault="00D34D5D">
      <w:pPr>
        <w:spacing w:line="360" w:lineRule="auto"/>
        <w:ind w:firstLineChars="200" w:firstLine="422"/>
        <w:rPr>
          <w:b/>
          <w:bCs/>
          <w:szCs w:val="21"/>
        </w:rPr>
      </w:pPr>
      <w:r>
        <w:rPr>
          <w:rFonts w:hint="eastAsia"/>
          <w:b/>
          <w:bCs/>
          <w:szCs w:val="21"/>
        </w:rPr>
        <w:t>三、本基金信息披露义务人承诺公开披露的基金信息，不得有下列行为：</w:t>
      </w:r>
    </w:p>
    <w:p w:rsidR="000E520F" w:rsidRDefault="00D34D5D">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rsidR="000E520F" w:rsidRDefault="00D34D5D">
      <w:pPr>
        <w:spacing w:line="360" w:lineRule="auto"/>
        <w:ind w:firstLineChars="200" w:firstLine="420"/>
        <w:rPr>
          <w:bCs/>
          <w:szCs w:val="21"/>
        </w:rPr>
      </w:pPr>
      <w:r>
        <w:rPr>
          <w:rFonts w:hint="eastAsia"/>
          <w:bCs/>
          <w:szCs w:val="21"/>
        </w:rPr>
        <w:t>2</w:t>
      </w:r>
      <w:r>
        <w:rPr>
          <w:rFonts w:hint="eastAsia"/>
          <w:bCs/>
          <w:szCs w:val="21"/>
        </w:rPr>
        <w:t>、对证券投资业绩进行预测；</w:t>
      </w:r>
    </w:p>
    <w:p w:rsidR="000E520F" w:rsidRDefault="00D34D5D">
      <w:pPr>
        <w:spacing w:line="360" w:lineRule="auto"/>
        <w:ind w:firstLineChars="200" w:firstLine="420"/>
        <w:rPr>
          <w:bCs/>
          <w:szCs w:val="21"/>
        </w:rPr>
      </w:pPr>
      <w:r>
        <w:rPr>
          <w:rFonts w:hint="eastAsia"/>
          <w:bCs/>
          <w:szCs w:val="21"/>
        </w:rPr>
        <w:t>3</w:t>
      </w:r>
      <w:r>
        <w:rPr>
          <w:rFonts w:hint="eastAsia"/>
          <w:bCs/>
          <w:szCs w:val="21"/>
        </w:rPr>
        <w:t>、违规承诺收益或者承担损失；</w:t>
      </w:r>
    </w:p>
    <w:p w:rsidR="000E520F" w:rsidRDefault="00D34D5D">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rsidR="000E520F" w:rsidRDefault="00D34D5D">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rsidR="000E520F" w:rsidRDefault="00D34D5D">
      <w:pPr>
        <w:spacing w:line="360" w:lineRule="auto"/>
        <w:ind w:firstLineChars="200" w:firstLine="420"/>
        <w:rPr>
          <w:bCs/>
          <w:szCs w:val="21"/>
        </w:rPr>
      </w:pPr>
      <w:r>
        <w:rPr>
          <w:rFonts w:hint="eastAsia"/>
          <w:bCs/>
          <w:szCs w:val="21"/>
        </w:rPr>
        <w:t>6</w:t>
      </w:r>
      <w:r>
        <w:rPr>
          <w:rFonts w:hint="eastAsia"/>
          <w:bCs/>
          <w:szCs w:val="21"/>
        </w:rPr>
        <w:t>、中国证监会禁止的其他行为。</w:t>
      </w:r>
    </w:p>
    <w:p w:rsidR="000E520F" w:rsidRDefault="00D34D5D">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rsidR="000E520F" w:rsidRDefault="00D34D5D">
      <w:pPr>
        <w:spacing w:line="360" w:lineRule="auto"/>
        <w:ind w:firstLineChars="200" w:firstLine="420"/>
        <w:rPr>
          <w:bCs/>
          <w:szCs w:val="21"/>
        </w:rPr>
      </w:pPr>
      <w:r>
        <w:rPr>
          <w:rFonts w:hint="eastAsia"/>
          <w:bCs/>
          <w:szCs w:val="21"/>
        </w:rPr>
        <w:t>本基金公开披露的信息采用阿拉伯数字；除特别说明外，货币单位为人民币元。</w:t>
      </w:r>
    </w:p>
    <w:p w:rsidR="000E520F" w:rsidRDefault="00D34D5D">
      <w:pPr>
        <w:spacing w:line="360" w:lineRule="auto"/>
        <w:ind w:firstLineChars="200" w:firstLine="422"/>
        <w:rPr>
          <w:b/>
          <w:bCs/>
          <w:szCs w:val="21"/>
        </w:rPr>
      </w:pPr>
      <w:r>
        <w:rPr>
          <w:rFonts w:hint="eastAsia"/>
          <w:b/>
          <w:bCs/>
          <w:szCs w:val="21"/>
        </w:rPr>
        <w:t>五、公开披露的基金信息</w:t>
      </w:r>
    </w:p>
    <w:p w:rsidR="000E520F" w:rsidRDefault="00D34D5D">
      <w:pPr>
        <w:spacing w:line="360" w:lineRule="auto"/>
        <w:ind w:firstLineChars="200" w:firstLine="420"/>
        <w:rPr>
          <w:bCs/>
          <w:szCs w:val="21"/>
        </w:rPr>
      </w:pPr>
      <w:r>
        <w:rPr>
          <w:rFonts w:hint="eastAsia"/>
          <w:bCs/>
          <w:szCs w:val="21"/>
        </w:rPr>
        <w:t>公开披露的基金信息包括：</w:t>
      </w:r>
    </w:p>
    <w:p w:rsidR="000E520F" w:rsidRDefault="00D34D5D">
      <w:pPr>
        <w:spacing w:line="360" w:lineRule="auto"/>
        <w:ind w:firstLineChars="200" w:firstLine="420"/>
        <w:rPr>
          <w:bCs/>
          <w:szCs w:val="21"/>
        </w:rPr>
      </w:pPr>
      <w:r>
        <w:rPr>
          <w:rFonts w:hint="eastAsia"/>
          <w:bCs/>
          <w:szCs w:val="21"/>
        </w:rPr>
        <w:t>（一）基金招募说明书、基金产品资料概要、《基金合同》、基金托管协议</w:t>
      </w:r>
    </w:p>
    <w:p w:rsidR="000E520F" w:rsidRDefault="00D34D5D">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rsidR="000E520F" w:rsidRDefault="00D34D5D">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rsidR="000E520F" w:rsidRDefault="00D34D5D">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rsidR="000E520F" w:rsidRDefault="00D34D5D">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rsidR="000E520F" w:rsidRDefault="00D34D5D">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rsidR="000E520F" w:rsidRDefault="00D34D5D">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rsidR="000E520F" w:rsidRDefault="00D34D5D">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0E520F" w:rsidRDefault="00D34D5D">
      <w:pPr>
        <w:spacing w:line="360" w:lineRule="auto"/>
        <w:ind w:firstLineChars="200" w:firstLine="420"/>
        <w:rPr>
          <w:bCs/>
          <w:szCs w:val="21"/>
        </w:rPr>
      </w:pPr>
      <w:r>
        <w:rPr>
          <w:rFonts w:hint="eastAsia"/>
          <w:bCs/>
          <w:szCs w:val="21"/>
        </w:rPr>
        <w:t>（二）基金份额发售公告</w:t>
      </w:r>
    </w:p>
    <w:p w:rsidR="000E520F" w:rsidRDefault="00D34D5D">
      <w:pPr>
        <w:spacing w:line="360" w:lineRule="auto"/>
        <w:ind w:firstLineChars="200" w:firstLine="420"/>
        <w:rPr>
          <w:bCs/>
          <w:szCs w:val="21"/>
        </w:rPr>
      </w:pPr>
      <w:r>
        <w:rPr>
          <w:rFonts w:hint="eastAsia"/>
          <w:bCs/>
          <w:szCs w:val="21"/>
        </w:rPr>
        <w:t>基金管理人应当就基金份额发售的具体事宜编制基金份额发售公告。</w:t>
      </w:r>
    </w:p>
    <w:p w:rsidR="000E520F" w:rsidRDefault="00D34D5D">
      <w:pPr>
        <w:spacing w:line="360" w:lineRule="auto"/>
        <w:ind w:firstLineChars="200" w:firstLine="420"/>
        <w:rPr>
          <w:bCs/>
          <w:szCs w:val="21"/>
        </w:rPr>
      </w:pPr>
      <w:r>
        <w:rPr>
          <w:rFonts w:hint="eastAsia"/>
          <w:bCs/>
          <w:szCs w:val="21"/>
        </w:rPr>
        <w:t>（三）《基金合同》生效公告</w:t>
      </w:r>
    </w:p>
    <w:p w:rsidR="000E520F" w:rsidRDefault="00D34D5D">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rsidR="000E520F" w:rsidRDefault="00D34D5D">
      <w:pPr>
        <w:spacing w:line="360" w:lineRule="auto"/>
        <w:ind w:firstLineChars="200" w:firstLine="420"/>
        <w:rPr>
          <w:bCs/>
          <w:szCs w:val="21"/>
        </w:rPr>
      </w:pPr>
      <w:r>
        <w:rPr>
          <w:rFonts w:hint="eastAsia"/>
          <w:bCs/>
          <w:szCs w:val="21"/>
        </w:rPr>
        <w:t>（四）基金净值信息</w:t>
      </w:r>
    </w:p>
    <w:p w:rsidR="000E520F" w:rsidRDefault="00D34D5D">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rsidR="000E520F" w:rsidRDefault="00D34D5D">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rsidR="000E520F" w:rsidRDefault="00D34D5D">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rsidR="000E520F" w:rsidRDefault="00D34D5D">
      <w:pPr>
        <w:spacing w:line="360" w:lineRule="auto"/>
        <w:ind w:firstLineChars="200" w:firstLine="420"/>
        <w:rPr>
          <w:bCs/>
          <w:szCs w:val="21"/>
        </w:rPr>
      </w:pPr>
      <w:r>
        <w:rPr>
          <w:rFonts w:hint="eastAsia"/>
          <w:bCs/>
          <w:szCs w:val="21"/>
        </w:rPr>
        <w:lastRenderedPageBreak/>
        <w:t>（五）基金份额申购、赎回价格</w:t>
      </w:r>
    </w:p>
    <w:p w:rsidR="000E520F" w:rsidRDefault="00D34D5D">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rsidR="000E520F" w:rsidRDefault="00D34D5D">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rsidR="000E520F" w:rsidRDefault="00D34D5D">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rsidR="000E520F" w:rsidRDefault="00D34D5D">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rsidR="000E520F" w:rsidRDefault="00D34D5D">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rsidR="000E520F" w:rsidRDefault="00D34D5D">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rsidR="000E520F" w:rsidRDefault="00D34D5D">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E520F" w:rsidRDefault="00D34D5D">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rsidR="000E520F" w:rsidRDefault="00D34D5D">
      <w:pPr>
        <w:spacing w:line="360" w:lineRule="auto"/>
        <w:ind w:firstLineChars="200" w:firstLine="420"/>
        <w:rPr>
          <w:bCs/>
          <w:szCs w:val="21"/>
        </w:rPr>
      </w:pPr>
      <w:r>
        <w:rPr>
          <w:rFonts w:hint="eastAsia"/>
          <w:bCs/>
          <w:szCs w:val="21"/>
        </w:rPr>
        <w:t>（七）临时报告</w:t>
      </w:r>
    </w:p>
    <w:p w:rsidR="000E520F" w:rsidRDefault="00D34D5D">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rsidR="000E520F" w:rsidRDefault="00D34D5D">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rsidR="000E520F" w:rsidRDefault="00D34D5D">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rsidR="000E520F" w:rsidRDefault="00D34D5D">
      <w:pPr>
        <w:spacing w:line="360" w:lineRule="auto"/>
        <w:ind w:firstLineChars="200" w:firstLine="420"/>
        <w:rPr>
          <w:bCs/>
          <w:szCs w:val="21"/>
        </w:rPr>
      </w:pPr>
      <w:r>
        <w:rPr>
          <w:rFonts w:hint="eastAsia"/>
          <w:bCs/>
          <w:szCs w:val="21"/>
        </w:rPr>
        <w:t>2</w:t>
      </w:r>
      <w:r>
        <w:rPr>
          <w:rFonts w:hint="eastAsia"/>
          <w:bCs/>
          <w:szCs w:val="21"/>
        </w:rPr>
        <w:t>、《基金合同》终止、基金清算；</w:t>
      </w:r>
    </w:p>
    <w:p w:rsidR="000E520F" w:rsidRDefault="00D34D5D">
      <w:pPr>
        <w:spacing w:line="360" w:lineRule="auto"/>
        <w:ind w:firstLineChars="200" w:firstLine="420"/>
        <w:rPr>
          <w:bCs/>
          <w:szCs w:val="21"/>
        </w:rPr>
      </w:pPr>
      <w:r>
        <w:rPr>
          <w:rFonts w:hint="eastAsia"/>
          <w:bCs/>
          <w:szCs w:val="21"/>
        </w:rPr>
        <w:t>3</w:t>
      </w:r>
      <w:r>
        <w:rPr>
          <w:rFonts w:hint="eastAsia"/>
          <w:bCs/>
          <w:szCs w:val="21"/>
        </w:rPr>
        <w:t>、转换基金运作方式、基金合并；</w:t>
      </w:r>
    </w:p>
    <w:p w:rsidR="000E520F" w:rsidRDefault="00D34D5D">
      <w:pPr>
        <w:spacing w:line="360" w:lineRule="auto"/>
        <w:ind w:firstLineChars="200" w:firstLine="420"/>
        <w:rPr>
          <w:bCs/>
          <w:szCs w:val="21"/>
        </w:rPr>
      </w:pPr>
      <w:r>
        <w:rPr>
          <w:rFonts w:hint="eastAsia"/>
          <w:bCs/>
          <w:szCs w:val="21"/>
        </w:rPr>
        <w:t>4</w:t>
      </w:r>
      <w:r>
        <w:rPr>
          <w:rFonts w:hint="eastAsia"/>
          <w:bCs/>
          <w:szCs w:val="21"/>
        </w:rPr>
        <w:t>、更换基金管理人、基金托管人；</w:t>
      </w:r>
    </w:p>
    <w:p w:rsidR="000E520F" w:rsidRDefault="00D34D5D">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rsidR="000E520F" w:rsidRDefault="00D34D5D">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rsidR="000E520F" w:rsidRDefault="00D34D5D">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rsidR="000E520F" w:rsidRDefault="00D34D5D">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rsidR="000E520F" w:rsidRDefault="00D34D5D">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rsidR="000E520F" w:rsidRDefault="00D34D5D">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rsidR="000E520F" w:rsidRDefault="00D34D5D">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rsidR="000E520F" w:rsidRDefault="00D34D5D">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rsidR="000E520F" w:rsidRDefault="00D34D5D">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E520F" w:rsidRDefault="00D34D5D">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520F" w:rsidRDefault="00D34D5D">
      <w:pPr>
        <w:spacing w:line="360" w:lineRule="auto"/>
        <w:ind w:firstLineChars="200" w:firstLine="420"/>
        <w:rPr>
          <w:bCs/>
          <w:szCs w:val="21"/>
        </w:rPr>
      </w:pPr>
      <w:r>
        <w:rPr>
          <w:rFonts w:hint="eastAsia"/>
          <w:bCs/>
          <w:szCs w:val="21"/>
        </w:rPr>
        <w:t>15</w:t>
      </w:r>
      <w:r>
        <w:rPr>
          <w:rFonts w:hint="eastAsia"/>
          <w:bCs/>
          <w:szCs w:val="21"/>
        </w:rPr>
        <w:t>、基金收益分配事项；</w:t>
      </w:r>
    </w:p>
    <w:p w:rsidR="000E520F" w:rsidRDefault="00D34D5D">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rsidR="000E520F" w:rsidRDefault="00D34D5D">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rsidR="000E520F" w:rsidRDefault="00D34D5D">
      <w:pPr>
        <w:spacing w:line="360" w:lineRule="auto"/>
        <w:ind w:firstLineChars="200" w:firstLine="420"/>
        <w:rPr>
          <w:bCs/>
          <w:szCs w:val="21"/>
        </w:rPr>
      </w:pPr>
      <w:r>
        <w:rPr>
          <w:rFonts w:hint="eastAsia"/>
          <w:bCs/>
          <w:szCs w:val="21"/>
        </w:rPr>
        <w:t>18</w:t>
      </w:r>
      <w:r>
        <w:rPr>
          <w:rFonts w:hint="eastAsia"/>
          <w:bCs/>
          <w:szCs w:val="21"/>
        </w:rPr>
        <w:t>、基金改聘会计师事务所；</w:t>
      </w:r>
    </w:p>
    <w:p w:rsidR="000E520F" w:rsidRDefault="00D34D5D">
      <w:pPr>
        <w:spacing w:line="360" w:lineRule="auto"/>
        <w:ind w:firstLineChars="200" w:firstLine="420"/>
        <w:rPr>
          <w:bCs/>
          <w:szCs w:val="21"/>
        </w:rPr>
      </w:pPr>
      <w:r>
        <w:rPr>
          <w:rFonts w:hint="eastAsia"/>
          <w:bCs/>
          <w:szCs w:val="21"/>
        </w:rPr>
        <w:t>19</w:t>
      </w:r>
      <w:r>
        <w:rPr>
          <w:rFonts w:hint="eastAsia"/>
          <w:bCs/>
          <w:szCs w:val="21"/>
        </w:rPr>
        <w:t>、更换基金登记机构；</w:t>
      </w:r>
    </w:p>
    <w:p w:rsidR="000E520F" w:rsidRDefault="00D34D5D">
      <w:pPr>
        <w:spacing w:line="360" w:lineRule="auto"/>
        <w:ind w:firstLineChars="200" w:firstLine="420"/>
        <w:rPr>
          <w:bCs/>
          <w:szCs w:val="21"/>
        </w:rPr>
      </w:pPr>
      <w:r>
        <w:rPr>
          <w:rFonts w:hint="eastAsia"/>
          <w:bCs/>
          <w:szCs w:val="21"/>
        </w:rPr>
        <w:t>20</w:t>
      </w:r>
      <w:r>
        <w:rPr>
          <w:rFonts w:hint="eastAsia"/>
          <w:bCs/>
          <w:szCs w:val="21"/>
        </w:rPr>
        <w:t>、本基金开始办理申购、赎回；</w:t>
      </w:r>
    </w:p>
    <w:p w:rsidR="000E520F" w:rsidRDefault="00D34D5D">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rsidR="000E520F" w:rsidRDefault="00D34D5D">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rsidR="000E520F" w:rsidRDefault="00D34D5D">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rsidR="000E520F" w:rsidRDefault="00D34D5D">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rsidR="000E520F" w:rsidRDefault="00D34D5D">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rsidR="000E520F" w:rsidRDefault="00D34D5D">
      <w:pPr>
        <w:spacing w:line="360" w:lineRule="auto"/>
        <w:ind w:firstLineChars="200" w:firstLine="420"/>
        <w:rPr>
          <w:bCs/>
          <w:szCs w:val="21"/>
        </w:rPr>
      </w:pPr>
      <w:r>
        <w:rPr>
          <w:rFonts w:hint="eastAsia"/>
          <w:bCs/>
          <w:szCs w:val="21"/>
        </w:rPr>
        <w:t>26</w:t>
      </w:r>
      <w:r>
        <w:rPr>
          <w:rFonts w:hint="eastAsia"/>
          <w:bCs/>
          <w:szCs w:val="21"/>
        </w:rPr>
        <w:t>、调整基金份额类别的设置；</w:t>
      </w:r>
    </w:p>
    <w:p w:rsidR="000E520F" w:rsidRDefault="00D34D5D">
      <w:pPr>
        <w:spacing w:line="360" w:lineRule="auto"/>
        <w:ind w:firstLineChars="200" w:firstLine="420"/>
        <w:rPr>
          <w:bCs/>
          <w:szCs w:val="21"/>
        </w:rPr>
      </w:pPr>
      <w:r>
        <w:rPr>
          <w:rFonts w:hint="eastAsia"/>
          <w:bCs/>
          <w:szCs w:val="21"/>
        </w:rPr>
        <w:t>27</w:t>
      </w:r>
      <w:r>
        <w:rPr>
          <w:rFonts w:hint="eastAsia"/>
          <w:bCs/>
          <w:szCs w:val="21"/>
        </w:rPr>
        <w:t>、基金推出新业务或服务；</w:t>
      </w:r>
    </w:p>
    <w:p w:rsidR="000E520F" w:rsidRDefault="00D34D5D">
      <w:pPr>
        <w:spacing w:line="360" w:lineRule="auto"/>
        <w:ind w:firstLineChars="200" w:firstLine="420"/>
        <w:rPr>
          <w:bCs/>
          <w:szCs w:val="21"/>
        </w:rPr>
      </w:pPr>
      <w:r>
        <w:rPr>
          <w:rFonts w:hint="eastAsia"/>
          <w:bCs/>
          <w:szCs w:val="21"/>
        </w:rPr>
        <w:t>28</w:t>
      </w:r>
      <w:r>
        <w:rPr>
          <w:rFonts w:hint="eastAsia"/>
          <w:bCs/>
          <w:szCs w:val="21"/>
        </w:rPr>
        <w:t>、连续</w:t>
      </w:r>
      <w:r>
        <w:rPr>
          <w:rFonts w:hint="eastAsia"/>
          <w:bCs/>
          <w:szCs w:val="21"/>
        </w:rPr>
        <w:t>30</w:t>
      </w:r>
      <w:r>
        <w:rPr>
          <w:rFonts w:hint="eastAsia"/>
          <w:bCs/>
          <w:szCs w:val="21"/>
        </w:rPr>
        <w:t>个工作日、</w:t>
      </w:r>
      <w:r>
        <w:rPr>
          <w:rFonts w:hint="eastAsia"/>
          <w:bCs/>
          <w:szCs w:val="21"/>
        </w:rPr>
        <w:t>40</w:t>
      </w:r>
      <w:r>
        <w:rPr>
          <w:rFonts w:hint="eastAsia"/>
          <w:bCs/>
          <w:szCs w:val="21"/>
        </w:rPr>
        <w:t>个工作日及</w:t>
      </w:r>
      <w:r>
        <w:rPr>
          <w:rFonts w:hint="eastAsia"/>
          <w:bCs/>
          <w:szCs w:val="21"/>
        </w:rPr>
        <w:t>45</w:t>
      </w:r>
      <w:r>
        <w:rPr>
          <w:rFonts w:hint="eastAsia"/>
          <w:bCs/>
          <w:szCs w:val="21"/>
        </w:rPr>
        <w:t>个工作日出现基金份额持有人数量不满二百人或者基金资产净值低于五千万元情形的；</w:t>
      </w:r>
    </w:p>
    <w:p w:rsidR="000E520F" w:rsidRDefault="00D34D5D">
      <w:pPr>
        <w:spacing w:line="360" w:lineRule="auto"/>
        <w:ind w:firstLineChars="200" w:firstLine="420"/>
        <w:rPr>
          <w:bCs/>
          <w:szCs w:val="21"/>
        </w:rPr>
      </w:pPr>
      <w:r>
        <w:rPr>
          <w:rFonts w:hint="eastAsia"/>
          <w:bCs/>
          <w:szCs w:val="21"/>
        </w:rPr>
        <w:t>29</w:t>
      </w:r>
      <w:r>
        <w:rPr>
          <w:rFonts w:hint="eastAsia"/>
          <w:bCs/>
          <w:szCs w:val="21"/>
        </w:rPr>
        <w:t>、基金信息披露义务人认为可能对基金份额持有人权益或者基金份额的价格产生重大影响的其他事项或中国证监会规定的和基金合同约定的其他事项。</w:t>
      </w:r>
    </w:p>
    <w:p w:rsidR="000E520F" w:rsidRDefault="00D34D5D">
      <w:pPr>
        <w:spacing w:line="360" w:lineRule="auto"/>
        <w:ind w:firstLineChars="200" w:firstLine="420"/>
        <w:rPr>
          <w:bCs/>
          <w:szCs w:val="21"/>
        </w:rPr>
      </w:pPr>
      <w:r>
        <w:rPr>
          <w:rFonts w:hint="eastAsia"/>
          <w:bCs/>
          <w:szCs w:val="21"/>
        </w:rPr>
        <w:lastRenderedPageBreak/>
        <w:t>（八）澄清公告</w:t>
      </w:r>
    </w:p>
    <w:p w:rsidR="000E520F" w:rsidRDefault="00D34D5D">
      <w:pPr>
        <w:spacing w:line="360" w:lineRule="auto"/>
        <w:ind w:firstLineChars="200" w:firstLine="420"/>
        <w:rPr>
          <w:bCs/>
          <w:szCs w:val="21"/>
        </w:rPr>
      </w:pPr>
      <w:r>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520F" w:rsidRDefault="00D34D5D">
      <w:pPr>
        <w:spacing w:line="360" w:lineRule="auto"/>
        <w:ind w:firstLineChars="200" w:firstLine="420"/>
        <w:rPr>
          <w:bCs/>
          <w:szCs w:val="21"/>
        </w:rPr>
      </w:pPr>
      <w:r>
        <w:rPr>
          <w:rFonts w:hint="eastAsia"/>
          <w:bCs/>
          <w:szCs w:val="21"/>
        </w:rPr>
        <w:t>（九）清算报告</w:t>
      </w:r>
    </w:p>
    <w:p w:rsidR="000E520F" w:rsidRDefault="00D34D5D">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rsidR="000E520F" w:rsidRDefault="00D34D5D">
      <w:pPr>
        <w:spacing w:line="360" w:lineRule="auto"/>
        <w:ind w:firstLineChars="200" w:firstLine="420"/>
        <w:rPr>
          <w:bCs/>
          <w:szCs w:val="21"/>
        </w:rPr>
      </w:pPr>
      <w:r>
        <w:rPr>
          <w:rFonts w:hint="eastAsia"/>
          <w:bCs/>
          <w:szCs w:val="21"/>
        </w:rPr>
        <w:t>（十）基金份额持有人大会决议</w:t>
      </w:r>
    </w:p>
    <w:p w:rsidR="000E520F" w:rsidRDefault="00D34D5D">
      <w:pPr>
        <w:spacing w:line="360" w:lineRule="auto"/>
        <w:ind w:firstLineChars="200" w:firstLine="420"/>
        <w:rPr>
          <w:bCs/>
          <w:szCs w:val="21"/>
        </w:rPr>
      </w:pPr>
      <w:r>
        <w:rPr>
          <w:rFonts w:hint="eastAsia"/>
          <w:bCs/>
          <w:szCs w:val="21"/>
        </w:rPr>
        <w:t>基金份额持有人大会决定的事项，应当依法报中国证监会备案，并予以公告。</w:t>
      </w:r>
    </w:p>
    <w:p w:rsidR="000E520F" w:rsidRDefault="00D34D5D">
      <w:pPr>
        <w:spacing w:line="360" w:lineRule="auto"/>
        <w:ind w:firstLineChars="200" w:firstLine="420"/>
        <w:rPr>
          <w:bCs/>
          <w:szCs w:val="21"/>
        </w:rPr>
      </w:pPr>
      <w:r>
        <w:rPr>
          <w:rFonts w:hint="eastAsia"/>
          <w:bCs/>
          <w:szCs w:val="21"/>
        </w:rPr>
        <w:t>（十一）投资股指期货、国债期货、股票期权的信息披露</w:t>
      </w:r>
    </w:p>
    <w:p w:rsidR="000E520F" w:rsidRDefault="00D34D5D">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rsidR="000E520F" w:rsidRDefault="00D34D5D">
      <w:pPr>
        <w:spacing w:line="360" w:lineRule="auto"/>
        <w:ind w:firstLineChars="200" w:firstLine="420"/>
        <w:rPr>
          <w:bCs/>
          <w:szCs w:val="21"/>
        </w:rPr>
      </w:pPr>
      <w:r>
        <w:rPr>
          <w:rFonts w:hint="eastAsia"/>
          <w:bCs/>
          <w:szCs w:val="21"/>
        </w:rPr>
        <w:t>（十二）投资资产支持证券的信息披露</w:t>
      </w:r>
    </w:p>
    <w:p w:rsidR="000E520F" w:rsidRDefault="00D34D5D">
      <w:pPr>
        <w:spacing w:line="360" w:lineRule="auto"/>
        <w:ind w:firstLineChars="200" w:firstLine="420"/>
        <w:rPr>
          <w:bCs/>
          <w:szCs w:val="21"/>
        </w:rPr>
      </w:pPr>
      <w:r>
        <w:rPr>
          <w:rFonts w:hint="eastAsia"/>
          <w:bCs/>
          <w:szCs w:val="21"/>
        </w:rPr>
        <w:t>基金管理人应在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0E520F" w:rsidRDefault="00D34D5D">
      <w:pPr>
        <w:spacing w:line="360" w:lineRule="auto"/>
        <w:ind w:firstLineChars="200" w:firstLine="420"/>
        <w:rPr>
          <w:bCs/>
          <w:szCs w:val="21"/>
        </w:rPr>
      </w:pPr>
      <w:r>
        <w:rPr>
          <w:rFonts w:hint="eastAsia"/>
          <w:bCs/>
          <w:szCs w:val="21"/>
        </w:rPr>
        <w:t>（十三）投资港股通标的股票的信息披露</w:t>
      </w:r>
    </w:p>
    <w:p w:rsidR="000E520F" w:rsidRDefault="00D34D5D">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rsidR="000E520F" w:rsidRDefault="00D34D5D">
      <w:pPr>
        <w:spacing w:line="360" w:lineRule="auto"/>
        <w:ind w:firstLineChars="200" w:firstLine="420"/>
        <w:rPr>
          <w:bCs/>
          <w:szCs w:val="21"/>
        </w:rPr>
      </w:pPr>
      <w:r>
        <w:rPr>
          <w:rFonts w:hint="eastAsia"/>
          <w:bCs/>
          <w:szCs w:val="21"/>
        </w:rPr>
        <w:t>（十四）投资流通受限证券的信息披露</w:t>
      </w:r>
    </w:p>
    <w:p w:rsidR="000E520F" w:rsidRDefault="00D34D5D">
      <w:pPr>
        <w:spacing w:line="360" w:lineRule="auto"/>
        <w:ind w:firstLineChars="200" w:firstLine="420"/>
        <w:rPr>
          <w:bCs/>
          <w:szCs w:val="21"/>
        </w:rPr>
      </w:pPr>
      <w:r>
        <w:rPr>
          <w:rFonts w:hint="eastAsia"/>
          <w:bCs/>
          <w:szCs w:val="21"/>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rsidR="000E520F" w:rsidRDefault="00D34D5D">
      <w:pPr>
        <w:spacing w:line="360" w:lineRule="auto"/>
        <w:ind w:firstLineChars="200" w:firstLine="420"/>
        <w:rPr>
          <w:bCs/>
          <w:szCs w:val="21"/>
        </w:rPr>
      </w:pPr>
      <w:r>
        <w:rPr>
          <w:rFonts w:hint="eastAsia"/>
          <w:bCs/>
          <w:szCs w:val="21"/>
        </w:rPr>
        <w:t>（十五）参与融资业务的信息披露</w:t>
      </w:r>
    </w:p>
    <w:p w:rsidR="000E520F" w:rsidRDefault="00D34D5D">
      <w:pPr>
        <w:spacing w:line="360" w:lineRule="auto"/>
        <w:ind w:firstLineChars="200" w:firstLine="420"/>
        <w:rPr>
          <w:bCs/>
          <w:szCs w:val="21"/>
        </w:rPr>
      </w:pPr>
      <w:r>
        <w:rPr>
          <w:rFonts w:hint="eastAsia"/>
          <w:bCs/>
          <w:szCs w:val="21"/>
        </w:rPr>
        <w:t>本基金参与融资业务，基金管理人应在季度报告、中期报告、年度报告等定期报告和招募说明书（更新）等文件中披露参与融资交易情况，包括投资策略、业务开展情况、损益情况、</w:t>
      </w:r>
      <w:r>
        <w:rPr>
          <w:rFonts w:hint="eastAsia"/>
          <w:bCs/>
          <w:szCs w:val="21"/>
        </w:rPr>
        <w:lastRenderedPageBreak/>
        <w:t>风险及其管理情况等。</w:t>
      </w:r>
    </w:p>
    <w:p w:rsidR="000E520F" w:rsidRDefault="00D34D5D">
      <w:pPr>
        <w:spacing w:line="360" w:lineRule="auto"/>
        <w:ind w:firstLineChars="200" w:firstLine="420"/>
        <w:rPr>
          <w:bCs/>
          <w:szCs w:val="21"/>
        </w:rPr>
      </w:pPr>
      <w:r>
        <w:rPr>
          <w:rFonts w:hint="eastAsia"/>
          <w:bCs/>
          <w:szCs w:val="21"/>
        </w:rPr>
        <w:t>（十六）投资信用衍生品的信息披露</w:t>
      </w:r>
    </w:p>
    <w:p w:rsidR="000E520F" w:rsidRDefault="00D34D5D">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0E520F" w:rsidRDefault="00D34D5D">
      <w:pPr>
        <w:spacing w:line="360" w:lineRule="auto"/>
        <w:ind w:firstLineChars="200" w:firstLine="420"/>
        <w:rPr>
          <w:bCs/>
          <w:szCs w:val="21"/>
        </w:rPr>
      </w:pPr>
      <w:r>
        <w:rPr>
          <w:rFonts w:hint="eastAsia"/>
          <w:bCs/>
          <w:szCs w:val="21"/>
        </w:rPr>
        <w:t>（十七）实施侧袋机制期间的信息披露</w:t>
      </w:r>
    </w:p>
    <w:p w:rsidR="000E520F" w:rsidRDefault="00D34D5D">
      <w:pPr>
        <w:spacing w:line="360" w:lineRule="auto"/>
        <w:ind w:firstLineChars="200" w:firstLine="420"/>
        <w:rPr>
          <w:bCs/>
          <w:szCs w:val="21"/>
        </w:rPr>
      </w:pPr>
      <w:r>
        <w:rPr>
          <w:rFonts w:hint="eastAsia"/>
          <w:bCs/>
          <w:szCs w:val="21"/>
        </w:rPr>
        <w:t>本基金实施侧袋机制的，相关信息披露义务人应当根据法律法规、基金合同和招募说明书的规定进行信息披露，详见本招募说明书“侧袋机制”章节的规定。</w:t>
      </w:r>
    </w:p>
    <w:p w:rsidR="000E520F" w:rsidRDefault="00D34D5D">
      <w:pPr>
        <w:spacing w:line="360" w:lineRule="auto"/>
        <w:ind w:firstLineChars="200" w:firstLine="420"/>
        <w:rPr>
          <w:bCs/>
          <w:szCs w:val="21"/>
        </w:rPr>
      </w:pPr>
      <w:r>
        <w:rPr>
          <w:rFonts w:hint="eastAsia"/>
          <w:bCs/>
          <w:szCs w:val="21"/>
        </w:rPr>
        <w:t>（十八）中国证监会规定的其他信息</w:t>
      </w:r>
    </w:p>
    <w:p w:rsidR="000E520F" w:rsidRDefault="00D34D5D">
      <w:pPr>
        <w:spacing w:line="360" w:lineRule="auto"/>
        <w:ind w:firstLineChars="200" w:firstLine="420"/>
        <w:rPr>
          <w:bCs/>
          <w:szCs w:val="21"/>
        </w:rPr>
      </w:pPr>
      <w:r>
        <w:rPr>
          <w:rFonts w:hint="eastAsia"/>
          <w:bCs/>
          <w:szCs w:val="21"/>
        </w:rPr>
        <w:t>六、信息披露事务管理</w:t>
      </w:r>
    </w:p>
    <w:p w:rsidR="000E520F" w:rsidRDefault="00D34D5D">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rsidR="000E520F" w:rsidRDefault="00D34D5D">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rsidR="000E520F" w:rsidRDefault="00D34D5D">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rsidR="000E520F" w:rsidRDefault="00D34D5D">
      <w:pPr>
        <w:spacing w:line="360" w:lineRule="auto"/>
        <w:ind w:firstLineChars="200" w:firstLine="420"/>
        <w:rPr>
          <w:bCs/>
          <w:szCs w:val="21"/>
        </w:rPr>
      </w:pPr>
      <w:r>
        <w:rPr>
          <w:rFonts w:hint="eastAsia"/>
          <w:bCs/>
          <w:szCs w:val="21"/>
        </w:rPr>
        <w:t>基金管理人、基金托管人应当在规定报刊中选择披露信息的报刊。</w:t>
      </w:r>
    </w:p>
    <w:p w:rsidR="000E520F" w:rsidRDefault="00D34D5D">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rsidR="000E520F" w:rsidRDefault="00D34D5D">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0E520F" w:rsidRDefault="00D34D5D">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0E520F" w:rsidRDefault="00D34D5D">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rsidR="000E520F" w:rsidRDefault="00D34D5D">
      <w:pPr>
        <w:spacing w:line="360" w:lineRule="auto"/>
        <w:ind w:firstLineChars="200" w:firstLine="422"/>
        <w:rPr>
          <w:b/>
          <w:bCs/>
          <w:szCs w:val="21"/>
        </w:rPr>
      </w:pPr>
      <w:r>
        <w:rPr>
          <w:rFonts w:hint="eastAsia"/>
          <w:b/>
          <w:bCs/>
          <w:szCs w:val="21"/>
        </w:rPr>
        <w:t>七、信息披露文件的存放与查阅</w:t>
      </w:r>
    </w:p>
    <w:p w:rsidR="000E520F" w:rsidRDefault="00D34D5D">
      <w:pPr>
        <w:spacing w:line="360" w:lineRule="auto"/>
        <w:ind w:firstLineChars="200" w:firstLine="420"/>
        <w:rPr>
          <w:bCs/>
          <w:szCs w:val="21"/>
        </w:rPr>
      </w:pPr>
      <w:r>
        <w:rPr>
          <w:rFonts w:hint="eastAsia"/>
          <w:bCs/>
          <w:szCs w:val="21"/>
        </w:rPr>
        <w:t>依法必须披露的信息发布后，基金管理人、基金托管人应当按照相关法律法规规定将信息</w:t>
      </w:r>
      <w:r>
        <w:rPr>
          <w:rFonts w:hint="eastAsia"/>
          <w:bCs/>
          <w:szCs w:val="21"/>
        </w:rPr>
        <w:lastRenderedPageBreak/>
        <w:t>置备于公司住所，以供社会公众查阅、复制。</w:t>
      </w:r>
    </w:p>
    <w:p w:rsidR="000E520F" w:rsidRDefault="00D34D5D">
      <w:pPr>
        <w:spacing w:line="360" w:lineRule="auto"/>
        <w:ind w:firstLineChars="200" w:firstLine="422"/>
        <w:rPr>
          <w:b/>
          <w:bCs/>
          <w:szCs w:val="21"/>
        </w:rPr>
      </w:pPr>
      <w:r>
        <w:rPr>
          <w:rFonts w:hint="eastAsia"/>
          <w:b/>
          <w:bCs/>
          <w:szCs w:val="21"/>
        </w:rPr>
        <w:t>八、暂停或延迟信息披露的情形</w:t>
      </w:r>
    </w:p>
    <w:p w:rsidR="000E520F" w:rsidRDefault="00D34D5D">
      <w:pPr>
        <w:spacing w:line="360" w:lineRule="auto"/>
        <w:ind w:firstLineChars="200" w:firstLine="420"/>
        <w:rPr>
          <w:bCs/>
          <w:szCs w:val="21"/>
        </w:rPr>
      </w:pPr>
      <w:r>
        <w:rPr>
          <w:rFonts w:hint="eastAsia"/>
          <w:bCs/>
          <w:szCs w:val="21"/>
        </w:rPr>
        <w:t>1</w:t>
      </w:r>
      <w:r>
        <w:rPr>
          <w:rFonts w:hint="eastAsia"/>
          <w:bCs/>
          <w:szCs w:val="21"/>
        </w:rPr>
        <w:t>、因不可抗力或其他情形致使基金管理人、基金托管人无法准确评估基金资产价值时；</w:t>
      </w:r>
    </w:p>
    <w:p w:rsidR="000E520F" w:rsidRDefault="00D34D5D">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rsidR="000E520F" w:rsidRDefault="00D34D5D">
      <w:pPr>
        <w:spacing w:line="360" w:lineRule="auto"/>
        <w:ind w:firstLineChars="200" w:firstLine="420"/>
        <w:rPr>
          <w:bCs/>
          <w:sz w:val="24"/>
          <w:szCs w:val="20"/>
        </w:rPr>
      </w:pPr>
      <w:r>
        <w:rPr>
          <w:rFonts w:hint="eastAsia"/>
          <w:bCs/>
          <w:szCs w:val="21"/>
        </w:rPr>
        <w:t>3</w:t>
      </w:r>
      <w:r>
        <w:rPr>
          <w:rFonts w:hint="eastAsia"/>
          <w:bCs/>
          <w:szCs w:val="21"/>
        </w:rPr>
        <w:t>、法律法规规定、中国证监会或基金合同认定的其他情形。</w:t>
      </w:r>
    </w:p>
    <w:p w:rsidR="000E520F" w:rsidRDefault="000E520F">
      <w:pPr>
        <w:spacing w:line="360" w:lineRule="auto"/>
        <w:ind w:firstLineChars="200" w:firstLine="480"/>
        <w:rPr>
          <w:bCs/>
          <w:sz w:val="24"/>
          <w:szCs w:val="20"/>
        </w:rPr>
        <w:sectPr w:rsidR="000E520F">
          <w:footerReference w:type="default" r:id="rId44"/>
          <w:pgSz w:w="12240" w:h="15840"/>
          <w:pgMar w:top="1440" w:right="1800" w:bottom="1440" w:left="1800" w:header="720" w:footer="720" w:gutter="0"/>
          <w:pgNumType w:start="1"/>
          <w:cols w:space="720"/>
        </w:sectPr>
      </w:pPr>
    </w:p>
    <w:p w:rsidR="000E520F" w:rsidRDefault="00D34D5D">
      <w:pPr>
        <w:pStyle w:val="11"/>
        <w:rPr>
          <w:rFonts w:ascii="Arial Unicode MS" w:eastAsia="宋体" w:hAnsi="Arial Unicode MS" w:cs="Arial"/>
          <w:b/>
          <w:bCs/>
          <w:sz w:val="28"/>
          <w:szCs w:val="28"/>
        </w:rPr>
      </w:pPr>
      <w:bookmarkStart w:id="146" w:name="_Toc47604320"/>
      <w:bookmarkStart w:id="147" w:name="_Toc47622428"/>
      <w:bookmarkStart w:id="148"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侧袋机制</w:t>
      </w:r>
      <w:bookmarkEnd w:id="146"/>
      <w:bookmarkEnd w:id="147"/>
    </w:p>
    <w:p w:rsidR="000E520F" w:rsidRDefault="000E520F">
      <w:pPr>
        <w:spacing w:line="360" w:lineRule="auto"/>
        <w:rPr>
          <w:b/>
        </w:rPr>
      </w:pPr>
    </w:p>
    <w:p w:rsidR="000E520F" w:rsidRDefault="00D34D5D">
      <w:pPr>
        <w:spacing w:line="360" w:lineRule="auto"/>
        <w:ind w:firstLineChars="200" w:firstLine="422"/>
        <w:rPr>
          <w:b/>
        </w:rPr>
      </w:pPr>
      <w:r>
        <w:rPr>
          <w:rFonts w:hint="eastAsia"/>
          <w:b/>
        </w:rPr>
        <w:t>一、侧袋机制的实施条件、实施程序和特定资产范围</w:t>
      </w:r>
      <w:r>
        <w:rPr>
          <w:rFonts w:hint="eastAsia"/>
          <w:b/>
        </w:rPr>
        <w:t xml:space="preserve"> </w:t>
      </w:r>
    </w:p>
    <w:p w:rsidR="000E520F" w:rsidRDefault="00D34D5D">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rsidR="000E520F" w:rsidRDefault="00D34D5D">
      <w:pPr>
        <w:spacing w:line="360" w:lineRule="auto"/>
        <w:ind w:firstLineChars="200" w:firstLine="420"/>
      </w:pPr>
      <w:r>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0E520F" w:rsidRDefault="00D34D5D">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rsidR="000E520F" w:rsidRDefault="000E520F">
      <w:pPr>
        <w:spacing w:line="360" w:lineRule="auto"/>
        <w:ind w:firstLineChars="200" w:firstLine="422"/>
        <w:rPr>
          <w:b/>
        </w:rPr>
      </w:pPr>
    </w:p>
    <w:p w:rsidR="000E520F" w:rsidRDefault="00D34D5D">
      <w:pPr>
        <w:spacing w:line="360" w:lineRule="auto"/>
        <w:ind w:firstLineChars="200" w:firstLine="422"/>
        <w:rPr>
          <w:b/>
        </w:rPr>
      </w:pPr>
      <w:r>
        <w:rPr>
          <w:rFonts w:hint="eastAsia"/>
          <w:b/>
        </w:rPr>
        <w:t>二、侧袋机制实施期间的基金运作安排</w:t>
      </w:r>
    </w:p>
    <w:p w:rsidR="000E520F" w:rsidRDefault="00D34D5D">
      <w:pPr>
        <w:spacing w:line="360" w:lineRule="auto"/>
        <w:ind w:firstLineChars="200" w:firstLine="420"/>
      </w:pPr>
      <w:r>
        <w:rPr>
          <w:rFonts w:hint="eastAsia"/>
        </w:rPr>
        <w:t>（一）基金份额的申购与赎回</w:t>
      </w:r>
    </w:p>
    <w:p w:rsidR="000E520F" w:rsidRDefault="00D34D5D">
      <w:pPr>
        <w:spacing w:line="360" w:lineRule="auto"/>
        <w:ind w:firstLineChars="200" w:firstLine="420"/>
      </w:pPr>
      <w:r>
        <w:rPr>
          <w:rFonts w:hint="eastAsia"/>
        </w:rPr>
        <w:t>1</w:t>
      </w:r>
      <w:r>
        <w:rPr>
          <w:rFonts w:hint="eastAsia"/>
        </w:rPr>
        <w:t>、侧袋机制实施期间，基金管理人不办理侧袋账户份额的申购、赎回和转换。基金份额持有人申请申购、赎回或转换侧袋账户份额的，该申购、赎回或转换申请将被拒绝。</w:t>
      </w:r>
    </w:p>
    <w:p w:rsidR="000E520F" w:rsidRDefault="00D34D5D">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rsidR="000E520F" w:rsidRDefault="00D34D5D">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rsidR="000E520F" w:rsidRDefault="00D34D5D">
      <w:pPr>
        <w:spacing w:line="360" w:lineRule="auto"/>
        <w:ind w:firstLineChars="200" w:firstLine="420"/>
      </w:pPr>
      <w:r>
        <w:rPr>
          <w:rFonts w:hint="eastAsia"/>
        </w:rPr>
        <w:t xml:space="preserve"> </w:t>
      </w:r>
      <w:r>
        <w:rPr>
          <w:rFonts w:hint="eastAsia"/>
        </w:rPr>
        <w:t>（二）基金的投资</w:t>
      </w:r>
    </w:p>
    <w:p w:rsidR="000E520F" w:rsidRDefault="00D34D5D">
      <w:pPr>
        <w:spacing w:line="360" w:lineRule="auto"/>
        <w:ind w:firstLineChars="200" w:firstLine="420"/>
      </w:pPr>
      <w:r>
        <w:rPr>
          <w:rFonts w:hint="eastAsia"/>
        </w:rPr>
        <w:t>侧袋机制实施期间，本基金的各项投资运作指标和基金业绩指标应当以主袋账户资产为基准。</w:t>
      </w:r>
    </w:p>
    <w:p w:rsidR="000E520F" w:rsidRDefault="00D34D5D">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rsidR="000E520F" w:rsidRDefault="00D34D5D">
      <w:pPr>
        <w:spacing w:line="360" w:lineRule="auto"/>
        <w:ind w:firstLineChars="200" w:firstLine="420"/>
      </w:pPr>
      <w:r>
        <w:rPr>
          <w:rFonts w:hint="eastAsia"/>
        </w:rPr>
        <w:t>（三）基金的费用</w:t>
      </w:r>
    </w:p>
    <w:p w:rsidR="000E520F" w:rsidRDefault="00D34D5D">
      <w:pPr>
        <w:spacing w:line="360" w:lineRule="auto"/>
        <w:ind w:firstLineChars="200" w:firstLine="420"/>
      </w:pPr>
      <w:r>
        <w:rPr>
          <w:rFonts w:hint="eastAsia"/>
        </w:rPr>
        <w:t>侧袋机制实施期间，侧袋账户资产不收取管理费。如法律法规对于侧袋账户资产托管费的收取另有规定的，以法律法规最新要求为准。</w:t>
      </w:r>
    </w:p>
    <w:p w:rsidR="000E520F" w:rsidRDefault="00D34D5D">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rsidR="000E520F" w:rsidRDefault="00D34D5D">
      <w:pPr>
        <w:spacing w:line="360" w:lineRule="auto"/>
        <w:ind w:firstLineChars="200" w:firstLine="420"/>
      </w:pPr>
      <w:r>
        <w:rPr>
          <w:rFonts w:hint="eastAsia"/>
        </w:rPr>
        <w:t>（四）基金的收益分配</w:t>
      </w:r>
    </w:p>
    <w:p w:rsidR="000E520F" w:rsidRDefault="00D34D5D">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可对主袋账户份额进行收益分配。侧袋账户份额不再适用基金合同的收益与分配条款。</w:t>
      </w:r>
    </w:p>
    <w:p w:rsidR="000E520F" w:rsidRDefault="00D34D5D">
      <w:pPr>
        <w:spacing w:line="360" w:lineRule="auto"/>
        <w:ind w:firstLineChars="200" w:firstLine="420"/>
      </w:pPr>
      <w:r>
        <w:rPr>
          <w:rFonts w:hint="eastAsia"/>
        </w:rPr>
        <w:t>（五）基金的信息披露</w:t>
      </w:r>
    </w:p>
    <w:p w:rsidR="000E520F" w:rsidRDefault="00D34D5D">
      <w:pPr>
        <w:spacing w:line="360" w:lineRule="auto"/>
        <w:ind w:firstLineChars="200" w:firstLine="420"/>
      </w:pPr>
      <w:r>
        <w:rPr>
          <w:rFonts w:hint="eastAsia"/>
        </w:rPr>
        <w:t>1</w:t>
      </w:r>
      <w:r>
        <w:rPr>
          <w:rFonts w:hint="eastAsia"/>
        </w:rPr>
        <w:t>、基金净值信息</w:t>
      </w:r>
    </w:p>
    <w:p w:rsidR="000E520F" w:rsidRDefault="00D34D5D">
      <w:pPr>
        <w:spacing w:line="360" w:lineRule="auto"/>
        <w:ind w:firstLineChars="200" w:firstLine="420"/>
      </w:pPr>
      <w:r>
        <w:rPr>
          <w:rFonts w:hint="eastAsia"/>
        </w:rPr>
        <w:t>侧袋机制实施期间，基金管理人应当暂停披露侧袋账户的基金份额净值。</w:t>
      </w:r>
    </w:p>
    <w:p w:rsidR="000E520F" w:rsidRDefault="00D34D5D">
      <w:pPr>
        <w:spacing w:line="360" w:lineRule="auto"/>
        <w:ind w:firstLineChars="200" w:firstLine="420"/>
      </w:pPr>
      <w:r>
        <w:rPr>
          <w:rFonts w:hint="eastAsia"/>
        </w:rPr>
        <w:t>2</w:t>
      </w:r>
      <w:r>
        <w:rPr>
          <w:rFonts w:hint="eastAsia"/>
        </w:rPr>
        <w:t>、定期报告</w:t>
      </w:r>
    </w:p>
    <w:p w:rsidR="000E520F" w:rsidRDefault="00D34D5D">
      <w:pPr>
        <w:spacing w:line="360" w:lineRule="auto"/>
        <w:ind w:firstLineChars="200" w:firstLine="420"/>
      </w:pPr>
      <w:r>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rsidR="000E520F" w:rsidRDefault="00D34D5D">
      <w:pPr>
        <w:spacing w:line="360" w:lineRule="auto"/>
        <w:ind w:firstLineChars="200" w:firstLine="420"/>
      </w:pPr>
      <w:r>
        <w:rPr>
          <w:rFonts w:hint="eastAsia"/>
        </w:rPr>
        <w:t>3</w:t>
      </w:r>
      <w:r>
        <w:rPr>
          <w:rFonts w:hint="eastAsia"/>
        </w:rPr>
        <w:t>、临时报告</w:t>
      </w:r>
    </w:p>
    <w:p w:rsidR="000E520F" w:rsidRDefault="00D34D5D">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rsidR="000E520F" w:rsidRDefault="00D34D5D">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rsidR="000E520F" w:rsidRDefault="00D34D5D">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rsidR="000E520F" w:rsidRDefault="00D34D5D">
      <w:pPr>
        <w:spacing w:line="360" w:lineRule="auto"/>
        <w:ind w:firstLineChars="200" w:firstLine="420"/>
      </w:pPr>
      <w:r>
        <w:rPr>
          <w:rFonts w:hint="eastAsia"/>
        </w:rPr>
        <w:t>（六）特定资产处置清算</w:t>
      </w:r>
    </w:p>
    <w:p w:rsidR="000E520F" w:rsidRDefault="00D34D5D">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rsidR="000E520F" w:rsidRDefault="00D34D5D">
      <w:pPr>
        <w:spacing w:line="360" w:lineRule="auto"/>
        <w:ind w:firstLineChars="200" w:firstLine="420"/>
      </w:pPr>
      <w:r>
        <w:rPr>
          <w:rFonts w:hint="eastAsia"/>
        </w:rPr>
        <w:t>（七）侧袋的审计</w:t>
      </w:r>
    </w:p>
    <w:p w:rsidR="000E520F" w:rsidRDefault="00D34D5D">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rsidR="000E520F" w:rsidRDefault="000E520F">
      <w:pPr>
        <w:spacing w:line="360" w:lineRule="auto"/>
        <w:ind w:firstLineChars="200" w:firstLine="420"/>
      </w:pPr>
    </w:p>
    <w:p w:rsidR="000E520F" w:rsidRDefault="00D34D5D">
      <w:pPr>
        <w:spacing w:line="360" w:lineRule="auto"/>
        <w:ind w:firstLineChars="200" w:firstLine="422"/>
        <w:rPr>
          <w:b/>
        </w:rPr>
      </w:pPr>
      <w:r>
        <w:rPr>
          <w:rFonts w:hint="eastAsia"/>
          <w:b/>
        </w:rPr>
        <w:t>三、本部分关于侧袋机制的相关规定，凡是直接引用法律法规或监管规则的部分，如将来法律法规或监管规则修改导致相关内容被取消或变更的，或将来法律法规或监管规则针对</w:t>
      </w:r>
      <w:r>
        <w:rPr>
          <w:b/>
        </w:rPr>
        <w:t>侧袋机制</w:t>
      </w:r>
      <w:r>
        <w:rPr>
          <w:rFonts w:hint="eastAsia"/>
          <w:b/>
        </w:rPr>
        <w:t>的</w:t>
      </w:r>
      <w:r>
        <w:rPr>
          <w:b/>
        </w:rPr>
        <w:t>内容有</w:t>
      </w:r>
      <w:r>
        <w:rPr>
          <w:rFonts w:hint="eastAsia"/>
          <w:b/>
        </w:rPr>
        <w:t>进一步</w:t>
      </w:r>
      <w:r>
        <w:rPr>
          <w:b/>
        </w:rPr>
        <w:t>规定的，</w:t>
      </w:r>
      <w:r>
        <w:rPr>
          <w:rFonts w:hint="eastAsia"/>
          <w:b/>
        </w:rPr>
        <w:t>基金管理人经与基金托管人协商一致并履行适当程序后，在对基金份额持有人利益无实质性不利影响的前提下，可直接对本部分内容进行修改、调整或</w:t>
      </w:r>
      <w:r>
        <w:rPr>
          <w:b/>
        </w:rPr>
        <w:t>补充</w:t>
      </w:r>
      <w:r>
        <w:rPr>
          <w:rFonts w:hint="eastAsia"/>
          <w:b/>
        </w:rPr>
        <w:t>，无需召开基金份额持有人大会审议。</w:t>
      </w:r>
    </w:p>
    <w:p w:rsidR="000E520F" w:rsidRDefault="000E520F">
      <w:pPr>
        <w:spacing w:line="360" w:lineRule="auto"/>
        <w:ind w:firstLineChars="200" w:firstLine="420"/>
      </w:pPr>
    </w:p>
    <w:p w:rsidR="000E520F" w:rsidRDefault="000E520F">
      <w:pPr>
        <w:spacing w:line="360" w:lineRule="auto"/>
        <w:ind w:firstLineChars="200" w:firstLine="420"/>
        <w:sectPr w:rsidR="000E520F">
          <w:headerReference w:type="default" r:id="rId45"/>
          <w:footerReference w:type="default" r:id="rId46"/>
          <w:footerReference w:type="first" r:id="rId47"/>
          <w:pgSz w:w="11906" w:h="16838"/>
          <w:pgMar w:top="1440" w:right="1800" w:bottom="1440" w:left="1800" w:header="851" w:footer="992" w:gutter="0"/>
          <w:pgNumType w:start="1"/>
          <w:cols w:space="720"/>
          <w:docGrid w:linePitch="312"/>
        </w:sectPr>
      </w:pPr>
    </w:p>
    <w:p w:rsidR="000E520F" w:rsidRDefault="00D34D5D">
      <w:pPr>
        <w:pStyle w:val="11"/>
        <w:snapToGrid w:val="0"/>
        <w:spacing w:before="0" w:after="0" w:line="360" w:lineRule="auto"/>
        <w:rPr>
          <w:rFonts w:ascii="Arial Unicode MS" w:eastAsia="宋体" w:hAnsi="Arial Unicode MS" w:cs="Arial"/>
          <w:b/>
          <w:bCs/>
          <w:sz w:val="28"/>
          <w:szCs w:val="28"/>
        </w:rPr>
      </w:pPr>
      <w:bookmarkStart w:id="149" w:name="_Toc47604321"/>
      <w:bookmarkStart w:id="150" w:name="_Toc4762242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38"/>
      <w:bookmarkEnd w:id="139"/>
      <w:bookmarkEnd w:id="140"/>
      <w:bookmarkEnd w:id="141"/>
      <w:bookmarkEnd w:id="142"/>
      <w:bookmarkEnd w:id="143"/>
      <w:bookmarkEnd w:id="144"/>
      <w:bookmarkEnd w:id="145"/>
      <w:bookmarkEnd w:id="148"/>
      <w:bookmarkEnd w:id="149"/>
      <w:bookmarkEnd w:id="150"/>
    </w:p>
    <w:p w:rsidR="000E520F" w:rsidRDefault="000E520F">
      <w:pPr>
        <w:spacing w:line="360" w:lineRule="auto"/>
        <w:rPr>
          <w:rFonts w:ascii="Arial Unicode MS" w:hAnsi="Arial Unicode MS"/>
        </w:rPr>
      </w:pP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hint="eastAsia"/>
          <w:bCs/>
          <w:szCs w:val="21"/>
        </w:rPr>
        <w:t>启用侧袋机制的风险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）港股通机制下，港股投资风险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本基金投资范围为具有良好流动性的金融工具，包括内地与</w:t>
      </w:r>
      <w:r>
        <w:rPr>
          <w:rFonts w:ascii="Arial Unicode MS" w:hAnsi="Arial Unicode MS" w:cs="Arial"/>
          <w:bCs/>
          <w:szCs w:val="21"/>
        </w:rPr>
        <w:t>香港股票市场交易互联互通</w:t>
      </w:r>
      <w:r>
        <w:rPr>
          <w:rFonts w:ascii="Arial Unicode MS" w:hAnsi="Arial Unicode MS" w:cs="Arial" w:hint="eastAsia"/>
          <w:bCs/>
          <w:szCs w:val="21"/>
        </w:rPr>
        <w:t>机制下允许投资的香港联合交易所（以下简称：“香港联交所”或“联交所”）上市的股票，且投资于港股通标的股票的比例不低于非现金基金资产的</w:t>
      </w:r>
      <w:r>
        <w:rPr>
          <w:rFonts w:ascii="Arial Unicode MS" w:hAnsi="Arial Unicode MS" w:cs="Arial" w:hint="eastAsia"/>
          <w:bCs/>
          <w:szCs w:val="21"/>
        </w:rPr>
        <w:t>80%</w:t>
      </w:r>
      <w:r>
        <w:rPr>
          <w:rFonts w:ascii="Arial Unicode MS" w:hAnsi="Arial Unicode MS" w:cs="Arial" w:hint="eastAsia"/>
          <w:bCs/>
          <w:szCs w:val="21"/>
        </w:rPr>
        <w:t>。除与其他投资于内地市场股票的基金所面临的共同风险外，本基金还面临港股通机制下因投资环境、投资者结构、投资标的构成、市场制度以及交易规则等差异所带来的特有风险，包括但不限于：</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w:t>
      </w:r>
      <w:r>
        <w:rPr>
          <w:rFonts w:ascii="Arial Unicode MS" w:hAnsi="Arial Unicode MS" w:cs="Arial" w:hint="eastAsia"/>
          <w:bCs/>
          <w:szCs w:val="21"/>
        </w:rPr>
        <w:lastRenderedPageBreak/>
        <w:t>以及因汇率大幅波动引起账户透支的风险。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w:t>
      </w:r>
      <w:r>
        <w:rPr>
          <w:szCs w:val="21"/>
        </w:rPr>
        <w:t>沪</w:t>
      </w:r>
      <w:r>
        <w:rPr>
          <w:szCs w:val="21"/>
        </w:rPr>
        <w:t>/</w:t>
      </w:r>
      <w:r>
        <w:rPr>
          <w:szCs w:val="21"/>
        </w:rPr>
        <w:t>深港</w:t>
      </w:r>
      <w:r>
        <w:rPr>
          <w:rFonts w:ascii="Arial Unicode MS" w:hAnsi="Arial Unicode MS" w:cs="Arial" w:hint="eastAsia"/>
          <w:bCs/>
          <w:szCs w:val="21"/>
        </w:rPr>
        <w:t>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w:t>
      </w:r>
      <w:r>
        <w:rPr>
          <w:rFonts w:ascii="Arial Unicode MS" w:hAnsi="Arial Unicode MS" w:cs="Arial" w:hint="eastAsia"/>
          <w:bCs/>
          <w:szCs w:val="21"/>
        </w:rPr>
        <w:lastRenderedPageBreak/>
        <w:t>在联交所上市的，可以通过港股通卖出，但不得行权；因港股通股票权益分派、转换或者上市公司被收购等所取得的非联交所上市证券，可以享有相关权益，但不得通过港股通买入或卖出。</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hint="eastAsia"/>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w:t>
      </w:r>
      <w:r>
        <w:rPr>
          <w:rFonts w:ascii="Arial Unicode MS" w:hAnsi="Arial Unicode MS" w:cs="Arial" w:hint="eastAsia"/>
          <w:bCs/>
          <w:szCs w:val="21"/>
        </w:rPr>
        <w:lastRenderedPageBreak/>
        <w:t>关业务规则导致本基金利益受到损害的情况。</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2</w:t>
      </w:r>
      <w:r>
        <w:rPr>
          <w:rFonts w:ascii="Arial Unicode MS" w:hAnsi="Arial Unicode MS" w:hint="eastAsia"/>
          <w:szCs w:val="21"/>
        </w:rPr>
        <w:t>）股指期货、国债期货、股票期权等金融衍生品投资风险</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）流动性风险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信用衍生品在交易转让过程中因无法找到交易对手或交易对手较少，导致难以将信用衍生品以合理价格变现的风险。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rsidR="000E520F" w:rsidRDefault="00D34D5D">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w:t>
      </w:r>
      <w:r>
        <w:rPr>
          <w:rFonts w:ascii="宋体" w:hAnsi="宋体" w:cs="Arial" w:hint="eastAsia"/>
          <w:szCs w:val="21"/>
        </w:rPr>
        <w:t>基金存续期内，连续50个工作日出现基金份额持有人数量不满二百人或者基金资产净值低于五千万元情形的，基金合同终止，不需召开基金份额持有人大会。因此本基金有面临自动清算的风险。</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、技术风险</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可能因为技术系统的故障或者差错而影响交易的正常进行或者导致投资者的利益受到影响。这种技术风险可能来自管理人、托管人、证券交易所、期货交易所、证券登记结算机构等。</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、其它风险</w:t>
      </w:r>
      <w:r>
        <w:rPr>
          <w:rFonts w:ascii="Arial Unicode MS" w:hAnsi="Arial Unicode MS" w:hint="eastAsia"/>
          <w:szCs w:val="21"/>
        </w:rPr>
        <w:t xml:space="preserve"> </w:t>
      </w:r>
    </w:p>
    <w:p w:rsidR="000E520F" w:rsidRDefault="00D34D5D">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rsidR="000E520F" w:rsidRDefault="00D34D5D">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rsidR="000E520F" w:rsidRDefault="00D34D5D">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rsidR="000E520F" w:rsidRDefault="00D34D5D">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rsidR="000E520F" w:rsidRDefault="000E520F">
      <w:pPr>
        <w:adjustRightInd w:val="0"/>
        <w:snapToGrid w:val="0"/>
        <w:spacing w:line="360" w:lineRule="auto"/>
        <w:ind w:firstLineChars="200" w:firstLine="420"/>
        <w:rPr>
          <w:rFonts w:ascii="Arial Unicode MS" w:hAnsi="Arial Unicode MS" w:cs="Arial"/>
          <w:bCs/>
          <w:szCs w:val="21"/>
        </w:rPr>
        <w:sectPr w:rsidR="000E520F">
          <w:footerReference w:type="default" r:id="rId48"/>
          <w:pgSz w:w="11906" w:h="16838"/>
          <w:pgMar w:top="1440" w:right="1800" w:bottom="1440" w:left="1800" w:header="851" w:footer="992" w:gutter="0"/>
          <w:pgNumType w:start="1"/>
          <w:cols w:space="720"/>
          <w:docGrid w:linePitch="312"/>
        </w:sectPr>
      </w:pPr>
    </w:p>
    <w:p w:rsidR="000E520F" w:rsidRDefault="00D34D5D">
      <w:pPr>
        <w:pStyle w:val="11"/>
        <w:snapToGrid w:val="0"/>
        <w:spacing w:before="0" w:after="0" w:line="360" w:lineRule="auto"/>
        <w:rPr>
          <w:rFonts w:ascii="Arial Unicode MS" w:eastAsia="宋体" w:hAnsi="Arial Unicode MS" w:cs="Arial"/>
          <w:b/>
          <w:bCs/>
          <w:sz w:val="28"/>
          <w:szCs w:val="28"/>
        </w:rPr>
      </w:pPr>
      <w:bookmarkStart w:id="151" w:name="_Toc454717524"/>
      <w:bookmarkStart w:id="152" w:name="_Toc524923235"/>
      <w:bookmarkStart w:id="153" w:name="_Toc520693901"/>
      <w:bookmarkStart w:id="154" w:name="_Toc520693803"/>
      <w:bookmarkStart w:id="155" w:name="_Toc47604322"/>
      <w:bookmarkStart w:id="156" w:name="_Toc317088154"/>
      <w:bookmarkStart w:id="157" w:name="_Toc317088551"/>
      <w:bookmarkStart w:id="158" w:name="_Toc335232705"/>
      <w:bookmarkStart w:id="159" w:name="_Toc47622430"/>
      <w:bookmarkStart w:id="160" w:name="_Toc429490294"/>
      <w:bookmarkStart w:id="161" w:name="_Toc320887656"/>
      <w:bookmarkStart w:id="162" w:name="_Toc214873606"/>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51"/>
      <w:bookmarkEnd w:id="152"/>
      <w:bookmarkEnd w:id="153"/>
      <w:bookmarkEnd w:id="154"/>
      <w:r>
        <w:rPr>
          <w:rFonts w:ascii="Arial Unicode MS" w:eastAsia="宋体" w:hAnsi="Arial Unicode MS" w:cs="Arial"/>
          <w:b/>
          <w:bCs/>
          <w:sz w:val="28"/>
          <w:szCs w:val="28"/>
        </w:rPr>
        <w:t>基金合同的变更、终止与基金财产的清算</w:t>
      </w:r>
      <w:bookmarkEnd w:id="155"/>
      <w:bookmarkEnd w:id="156"/>
      <w:bookmarkEnd w:id="157"/>
      <w:bookmarkEnd w:id="158"/>
      <w:bookmarkEnd w:id="159"/>
      <w:bookmarkEnd w:id="160"/>
      <w:bookmarkEnd w:id="161"/>
      <w:bookmarkEnd w:id="162"/>
    </w:p>
    <w:p w:rsidR="000E520F" w:rsidRDefault="000E520F">
      <w:pPr>
        <w:snapToGrid w:val="0"/>
        <w:spacing w:line="360" w:lineRule="auto"/>
        <w:ind w:firstLineChars="200" w:firstLine="422"/>
        <w:rPr>
          <w:rFonts w:ascii="Arial Unicode MS" w:hAnsi="Arial Unicode MS" w:cs="Arial"/>
          <w:b/>
          <w:szCs w:val="21"/>
        </w:rPr>
      </w:pPr>
      <w:bookmarkStart w:id="163" w:name="_Toc79392639"/>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rsidR="000E520F" w:rsidRDefault="00D34D5D">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rsidR="000E520F" w:rsidRDefault="00D34D5D">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rsidR="000E520F" w:rsidRDefault="000E520F">
      <w:pPr>
        <w:snapToGrid w:val="0"/>
        <w:spacing w:line="360" w:lineRule="auto"/>
        <w:ind w:firstLineChars="200" w:firstLine="422"/>
        <w:rPr>
          <w:rFonts w:ascii="Arial Unicode MS" w:hAnsi="Arial Unicode MS" w:cs="Arial"/>
          <w:b/>
          <w:szCs w:val="21"/>
        </w:rPr>
      </w:pPr>
    </w:p>
    <w:p w:rsidR="000E520F" w:rsidRDefault="000E520F">
      <w:pPr>
        <w:snapToGrid w:val="0"/>
        <w:spacing w:line="360" w:lineRule="auto"/>
        <w:ind w:firstLineChars="200" w:firstLine="420"/>
        <w:rPr>
          <w:rFonts w:ascii="Arial Unicode MS" w:hAnsi="Arial Unicode MS" w:cs="Arial"/>
          <w:szCs w:val="21"/>
        </w:rPr>
        <w:sectPr w:rsidR="000E520F">
          <w:footerReference w:type="default" r:id="rId49"/>
          <w:footerReference w:type="first" r:id="rId50"/>
          <w:pgSz w:w="11906" w:h="16838"/>
          <w:pgMar w:top="1440" w:right="1800" w:bottom="1440" w:left="1800" w:header="851" w:footer="992" w:gutter="0"/>
          <w:pgNumType w:start="1"/>
          <w:cols w:space="720"/>
          <w:docGrid w:linePitch="312"/>
        </w:sectPr>
      </w:pPr>
    </w:p>
    <w:p w:rsidR="000E520F" w:rsidRDefault="00D34D5D">
      <w:pPr>
        <w:pStyle w:val="11"/>
        <w:snapToGrid w:val="0"/>
        <w:spacing w:before="0" w:after="0" w:line="360" w:lineRule="auto"/>
        <w:rPr>
          <w:rFonts w:ascii="Arial Unicode MS" w:eastAsia="宋体" w:hAnsi="Arial Unicode MS" w:cs="Arial"/>
          <w:b/>
          <w:bCs/>
          <w:sz w:val="28"/>
          <w:szCs w:val="28"/>
        </w:rPr>
      </w:pPr>
      <w:bookmarkStart w:id="164" w:name="_Toc317088155"/>
      <w:bookmarkStart w:id="165" w:name="_Toc214873607"/>
      <w:bookmarkStart w:id="166" w:name="_Toc47622431"/>
      <w:bookmarkStart w:id="167" w:name="_Toc47604323"/>
      <w:bookmarkStart w:id="168" w:name="_Toc317088552"/>
      <w:bookmarkStart w:id="169" w:name="_Toc320887657"/>
      <w:bookmarkStart w:id="170" w:name="_Toc335232706"/>
      <w:bookmarkStart w:id="171" w:name="_Toc429490295"/>
      <w:bookmarkEnd w:id="16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64"/>
      <w:bookmarkEnd w:id="165"/>
      <w:bookmarkEnd w:id="166"/>
      <w:bookmarkEnd w:id="167"/>
      <w:bookmarkEnd w:id="168"/>
      <w:bookmarkEnd w:id="169"/>
      <w:bookmarkEnd w:id="170"/>
      <w:bookmarkEnd w:id="171"/>
    </w:p>
    <w:p w:rsidR="000E520F" w:rsidRDefault="000E520F">
      <w:pPr>
        <w:autoSpaceDE w:val="0"/>
        <w:autoSpaceDN w:val="0"/>
        <w:adjustRightInd w:val="0"/>
        <w:spacing w:line="360" w:lineRule="auto"/>
        <w:ind w:firstLineChars="200" w:firstLine="422"/>
        <w:jc w:val="left"/>
        <w:rPr>
          <w:rFonts w:ascii="Arial Unicode MS" w:hAnsi="Arial Unicode MS"/>
          <w:b/>
          <w:bCs/>
          <w:szCs w:val="21"/>
        </w:rPr>
      </w:pP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w:t>
      </w:r>
      <w:r>
        <w:rPr>
          <w:rFonts w:ascii="Arial Unicode MS" w:hAnsi="Arial Unicode MS" w:hint="eastAsia"/>
          <w:bCs/>
          <w:szCs w:val="21"/>
        </w:rPr>
        <w:lastRenderedPageBreak/>
        <w:t>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）根据相关市场规则，为基金开设资金账户、证券账户等投资所需账户，为基金办理证券交易资金清算；</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）复核、审查基金管理人计算的基金资产净值、基金份额净值、基金份额申购、赎回价格；</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）面临解散、依法被撤销或者被依法宣告破产时，及时报告中国证监会和银行业监督管理机构，并通知基金管理人；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除法律法规另有规定或本基金合同另有约定外，同一类别每份基金份额具有同等的合法权益。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、根据《基金法》、《运作办法》及其他有关规定，基金份额持有人的权利包括但不限于：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w:t>
      </w:r>
      <w:r>
        <w:rPr>
          <w:rFonts w:ascii="Arial Unicode MS" w:hAnsi="Arial Unicode MS" w:hint="eastAsia"/>
          <w:bCs/>
          <w:szCs w:val="21"/>
        </w:rPr>
        <w:lastRenderedPageBreak/>
        <w:t>基金份额持有人出席会议并表决。除法律法规另有规定或本基金合同另有约定外，基金份额持有人持有的同一类别每一基金份额拥有平等的投票权。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本基金份额持有人大会不设日常机构。</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）对《基金合同》的修改对基金份额持有人利益无实质性不利影响或修改不涉及《基金合同》当事人权利义务关系发生重大变化；</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w:t>
      </w:r>
      <w:r>
        <w:rPr>
          <w:rFonts w:ascii="Arial Unicode MS" w:hAnsi="Arial Unicode MS" w:hint="eastAsia"/>
          <w:bCs/>
          <w:szCs w:val="21"/>
        </w:rPr>
        <w:lastRenderedPageBreak/>
        <w:t>有人依法自行召集基金份额持有人大会的，基金管理人、基金托管人应当配合，不得阻碍、干扰。</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（三）召开基金份额持有人大会的通知时间、通知内容、通知方式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w:t>
      </w:r>
      <w:r>
        <w:rPr>
          <w:rFonts w:ascii="Arial Unicode MS" w:hAnsi="Arial Unicode MS" w:hint="eastAsia"/>
          <w:bCs/>
          <w:szCs w:val="21"/>
        </w:rPr>
        <w:lastRenderedPageBreak/>
        <w:t>额的凭证及委托人的代理投票授权委托证明符合法律法规、《基金合同》和会议通知的规定，并且持有基金份额的凭证与基金管理人持有的登记资料相符；</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w:t>
      </w:r>
      <w:r>
        <w:rPr>
          <w:rFonts w:ascii="Arial Unicode MS" w:hAnsi="Arial Unicode MS" w:hint="eastAsia"/>
          <w:bCs/>
          <w:szCs w:val="21"/>
        </w:rPr>
        <w:lastRenderedPageBreak/>
        <w:t>或其他方式，具体方式由会议召集人确定并在会议通知中列明。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w:t>
      </w:r>
      <w:r>
        <w:rPr>
          <w:rFonts w:ascii="Arial Unicode MS" w:hAnsi="Arial Unicode MS"/>
          <w:bCs/>
          <w:szCs w:val="21"/>
        </w:rPr>
        <w:t>（</w:t>
      </w:r>
      <w:r>
        <w:rPr>
          <w:rFonts w:ascii="Arial Unicode MS" w:hAnsi="Arial Unicode MS" w:hint="eastAsia"/>
          <w:bCs/>
          <w:szCs w:val="21"/>
        </w:rPr>
        <w:t>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w:t>
      </w:r>
      <w:r>
        <w:rPr>
          <w:rFonts w:ascii="Arial Unicode MS" w:hAnsi="Arial Unicode MS" w:hint="eastAsia"/>
          <w:bCs/>
          <w:szCs w:val="21"/>
        </w:rPr>
        <w:lastRenderedPageBreak/>
        <w:t>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w:t>
      </w:r>
      <w:r>
        <w:rPr>
          <w:rFonts w:ascii="Arial Unicode MS" w:hAnsi="Arial Unicode MS" w:hint="eastAsia"/>
          <w:bCs/>
          <w:szCs w:val="21"/>
        </w:rPr>
        <w:lastRenderedPageBreak/>
        <w:t>对其计票过程予以公证。基金管理人或基金托管人拒派代表对表决意见的计票进行监督的，不影响计票和表决结果。</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（九）实施侧袋机制期间基金份额持有人大会的特殊约定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、现场开会的到会者在权益登记日代表的基金份额不少于本基金在权益登记日相关基金份额的二分之一（含二分之一）；</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、通讯开会的直接出具书面意见或授权他人代表出具书面意见的基金份额持有人所持有的基金份额不小于在权益登记日相关基金份额的二分之一（含二分之一）；</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7</w:t>
      </w:r>
      <w:r>
        <w:rPr>
          <w:rFonts w:ascii="Arial Unicode MS" w:hAnsi="Arial Unicode MS" w:hint="eastAsia"/>
          <w:bCs/>
          <w:szCs w:val="21"/>
        </w:rPr>
        <w:t>、特别决议应当经参加大会的基金份额持有人或其代理人所持表决权的三分之二以上（含三分之二）通过。</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同一主侧袋账户内的每份基金份额具有平等的表决权。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、由于本基金</w:t>
      </w:r>
      <w:r>
        <w:rPr>
          <w:rFonts w:ascii="Arial Unicode MS" w:hAnsi="Arial Unicode MS" w:hint="eastAsia"/>
          <w:bCs/>
          <w:szCs w:val="21"/>
        </w:rPr>
        <w:t>A</w:t>
      </w:r>
      <w:r>
        <w:rPr>
          <w:rFonts w:ascii="Arial Unicode MS" w:hAnsi="Arial Unicode MS" w:hint="eastAsia"/>
          <w:bCs/>
          <w:szCs w:val="21"/>
        </w:rPr>
        <w:t>类基金份额不收取销售服务费，而</w:t>
      </w:r>
      <w:r>
        <w:rPr>
          <w:rFonts w:ascii="Arial Unicode MS" w:hAnsi="Arial Unicode MS" w:hint="eastAsia"/>
          <w:bCs/>
          <w:szCs w:val="21"/>
        </w:rPr>
        <w:t>C</w:t>
      </w:r>
      <w:r>
        <w:rPr>
          <w:rFonts w:ascii="Arial Unicode MS" w:hAnsi="Arial Unicode MS" w:hint="eastAsia"/>
          <w:bCs/>
          <w:szCs w:val="21"/>
        </w:rPr>
        <w:t>类基金份额收取销售服务费，各基金份额类别对应的可供分配利润将有所不同，本基金同一类别的每一基金份额享有同等分配权；</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hint="eastAsia"/>
          <w:bCs/>
          <w:szCs w:val="21"/>
        </w:rPr>
        <w:t>A</w:t>
      </w:r>
      <w:r>
        <w:rPr>
          <w:rFonts w:ascii="Arial Unicode MS" w:hAnsi="Arial Unicode MS" w:hint="eastAsia"/>
          <w:bCs/>
          <w:szCs w:val="21"/>
        </w:rPr>
        <w:t>类、</w:t>
      </w:r>
      <w:r>
        <w:rPr>
          <w:rFonts w:ascii="Arial Unicode MS" w:hAnsi="Arial Unicode MS" w:hint="eastAsia"/>
          <w:bCs/>
          <w:szCs w:val="21"/>
        </w:rPr>
        <w:t>C</w:t>
      </w:r>
      <w:r>
        <w:rPr>
          <w:rFonts w:ascii="Arial Unicode MS" w:hAnsi="Arial Unicode MS" w:hint="eastAsia"/>
          <w:bCs/>
          <w:szCs w:val="21"/>
        </w:rPr>
        <w:t>类基金份额分别选择不同的分红方式；若投资者不选择，本基金默认的收益分配方式是现金分红；</w:t>
      </w:r>
      <w:r>
        <w:rPr>
          <w:rFonts w:ascii="Arial Unicode MS" w:hAnsi="Arial Unicode MS" w:hint="eastAsia"/>
          <w:bCs/>
          <w:szCs w:val="21"/>
        </w:rPr>
        <w:t xml:space="preserve"> </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、法律法规或监管机关另有规定的，从其规定。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清算费用是指基金财产清算小组在进行基金清算过程中发生的所有合理费用，清算费用由基金财产清算小组优先从基金剩余财产中支付。</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《基金合同》受中国法律（为本基金合同之目的，在此不包括香港、澳门特别行政区和台湾地区法律）管辖。</w:t>
      </w:r>
    </w:p>
    <w:p w:rsidR="000E520F" w:rsidRDefault="00D34D5D">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rsidR="000E520F" w:rsidRDefault="00D34D5D">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rsidR="000E520F" w:rsidRDefault="000E520F">
      <w:pPr>
        <w:autoSpaceDE w:val="0"/>
        <w:autoSpaceDN w:val="0"/>
        <w:adjustRightInd w:val="0"/>
        <w:spacing w:line="360" w:lineRule="auto"/>
        <w:ind w:firstLineChars="200" w:firstLine="420"/>
        <w:jc w:val="left"/>
        <w:rPr>
          <w:rFonts w:ascii="Arial Unicode MS" w:hAnsi="Arial Unicode MS"/>
          <w:bCs/>
          <w:szCs w:val="21"/>
        </w:rPr>
        <w:sectPr w:rsidR="000E520F">
          <w:footerReference w:type="default" r:id="rId51"/>
          <w:footerReference w:type="first" r:id="rId52"/>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rPr>
          <w:rFonts w:ascii="Arial Unicode MS" w:eastAsia="宋体" w:hAnsi="Arial Unicode MS" w:cs="Arial"/>
          <w:b/>
          <w:bCs/>
          <w:sz w:val="28"/>
          <w:szCs w:val="28"/>
        </w:rPr>
      </w:pPr>
      <w:bookmarkStart w:id="172" w:name="_Toc335232707"/>
      <w:bookmarkStart w:id="173" w:name="_Toc317088553"/>
      <w:bookmarkStart w:id="174" w:name="_Toc429490296"/>
      <w:bookmarkStart w:id="175" w:name="_Toc317088156"/>
      <w:bookmarkStart w:id="176" w:name="_Toc47604324"/>
      <w:bookmarkStart w:id="177" w:name="_Toc214873614"/>
      <w:bookmarkStart w:id="178" w:name="_Toc47622432"/>
      <w:bookmarkStart w:id="179" w:name="_Toc320887658"/>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72"/>
      <w:bookmarkEnd w:id="173"/>
      <w:bookmarkEnd w:id="174"/>
      <w:bookmarkEnd w:id="175"/>
      <w:bookmarkEnd w:id="176"/>
      <w:bookmarkEnd w:id="177"/>
      <w:bookmarkEnd w:id="178"/>
      <w:bookmarkEnd w:id="179"/>
    </w:p>
    <w:p w:rsidR="000E520F" w:rsidRDefault="000E520F">
      <w:pPr>
        <w:adjustRightInd w:val="0"/>
        <w:snapToGrid w:val="0"/>
        <w:spacing w:line="360" w:lineRule="auto"/>
        <w:ind w:firstLineChars="200" w:firstLine="422"/>
        <w:rPr>
          <w:rFonts w:ascii="Arial Unicode MS" w:hAnsi="Arial Unicode MS" w:cs="Arial"/>
          <w:b/>
          <w:szCs w:val="21"/>
        </w:rPr>
      </w:pP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注册地址：深圳市福田区莲花街道福新社区益田路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518040</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成立日期：</w:t>
      </w:r>
      <w:r>
        <w:rPr>
          <w:rFonts w:ascii="Arial Unicode MS" w:hAnsi="Arial Unicode MS" w:cs="Arial" w:hint="eastAsia"/>
          <w:kern w:val="0"/>
          <w:szCs w:val="21"/>
        </w:rPr>
        <w:t xml:space="preserve"> 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批准设立机关及批准设立文号：中国证监会证监基字【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经营范围：基金募集；基金销售；资产管理以及中国证监会许可的其它业务。</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名称：中国民生银行股份有限公司</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注册地址：北京市西城区复兴门内大街</w:t>
      </w:r>
      <w:r>
        <w:rPr>
          <w:rFonts w:ascii="Arial Unicode MS" w:hAnsi="Arial Unicode MS" w:cs="Arial" w:hint="eastAsia"/>
          <w:kern w:val="0"/>
          <w:szCs w:val="21"/>
        </w:rPr>
        <w:t>2</w:t>
      </w:r>
      <w:r>
        <w:rPr>
          <w:rFonts w:ascii="Arial Unicode MS" w:hAnsi="Arial Unicode MS" w:cs="Arial" w:hint="eastAsia"/>
          <w:kern w:val="0"/>
          <w:szCs w:val="21"/>
        </w:rPr>
        <w:t>号</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办公地址：北京市西城区复兴门内大街</w:t>
      </w:r>
      <w:r>
        <w:rPr>
          <w:rFonts w:ascii="Arial Unicode MS" w:hAnsi="Arial Unicode MS" w:cs="Arial" w:hint="eastAsia"/>
          <w:kern w:val="0"/>
          <w:szCs w:val="21"/>
        </w:rPr>
        <w:t>2</w:t>
      </w:r>
      <w:r>
        <w:rPr>
          <w:rFonts w:ascii="Arial Unicode MS" w:hAnsi="Arial Unicode MS" w:cs="Arial" w:hint="eastAsia"/>
          <w:kern w:val="0"/>
          <w:szCs w:val="21"/>
        </w:rPr>
        <w:t>号</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100031</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法定代表人：高迎欣</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成立日期：</w:t>
      </w:r>
      <w:r>
        <w:rPr>
          <w:rFonts w:ascii="Arial Unicode MS" w:hAnsi="Arial Unicode MS" w:cs="Arial" w:hint="eastAsia"/>
          <w:kern w:val="0"/>
          <w:szCs w:val="21"/>
        </w:rPr>
        <w:t>1996</w:t>
      </w:r>
      <w:r>
        <w:rPr>
          <w:rFonts w:ascii="Arial Unicode MS" w:hAnsi="Arial Unicode MS" w:cs="Arial" w:hint="eastAsia"/>
          <w:kern w:val="0"/>
          <w:szCs w:val="21"/>
        </w:rPr>
        <w:t>年</w:t>
      </w:r>
      <w:r>
        <w:rPr>
          <w:rFonts w:ascii="Arial Unicode MS" w:hAnsi="Arial Unicode MS" w:cs="Arial" w:hint="eastAsia"/>
          <w:kern w:val="0"/>
          <w:szCs w:val="21"/>
        </w:rPr>
        <w:t>2</w:t>
      </w:r>
      <w:r>
        <w:rPr>
          <w:rFonts w:ascii="Arial Unicode MS" w:hAnsi="Arial Unicode MS" w:cs="Arial" w:hint="eastAsia"/>
          <w:kern w:val="0"/>
          <w:szCs w:val="21"/>
        </w:rPr>
        <w:t>月</w:t>
      </w:r>
      <w:r>
        <w:rPr>
          <w:rFonts w:ascii="Arial Unicode MS" w:hAnsi="Arial Unicode MS" w:cs="Arial" w:hint="eastAsia"/>
          <w:kern w:val="0"/>
          <w:szCs w:val="21"/>
        </w:rPr>
        <w:t>7</w:t>
      </w:r>
      <w:r>
        <w:rPr>
          <w:rFonts w:ascii="Arial Unicode MS" w:hAnsi="Arial Unicode MS" w:cs="Arial" w:hint="eastAsia"/>
          <w:kern w:val="0"/>
          <w:szCs w:val="21"/>
        </w:rPr>
        <w:t>日</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基金托管业务批准文号：证监基金字</w:t>
      </w:r>
      <w:r>
        <w:rPr>
          <w:rFonts w:ascii="Arial Unicode MS" w:hAnsi="Arial Unicode MS" w:cs="Arial" w:hint="eastAsia"/>
          <w:kern w:val="0"/>
          <w:szCs w:val="21"/>
        </w:rPr>
        <w:t>[2004]101</w:t>
      </w:r>
      <w:r>
        <w:rPr>
          <w:rFonts w:ascii="Arial Unicode MS" w:hAnsi="Arial Unicode MS" w:cs="Arial" w:hint="eastAsia"/>
          <w:kern w:val="0"/>
          <w:szCs w:val="21"/>
        </w:rPr>
        <w:t>号</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组织形式：其他股份有限公司（上市）</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28,365,585,227</w:t>
      </w:r>
      <w:r>
        <w:rPr>
          <w:rFonts w:ascii="Arial Unicode MS" w:hAnsi="Arial Unicode MS" w:cs="Arial" w:hint="eastAsia"/>
          <w:kern w:val="0"/>
          <w:szCs w:val="21"/>
        </w:rPr>
        <w:t>元人民币</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rsidR="000E520F" w:rsidRDefault="00D34D5D">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w:t>
      </w:r>
      <w:r>
        <w:rPr>
          <w:rFonts w:ascii="Arial Unicode MS" w:hAnsi="Arial Unicode MS" w:cs="Arial" w:hint="eastAsia"/>
          <w:kern w:val="0"/>
          <w:szCs w:val="21"/>
        </w:rPr>
        <w:lastRenderedPageBreak/>
        <w:t>服务及担保；代理收付款项；保险兼业代理业务；提供保管箱服务；经国务院银行业监督管理机构批准的其他业务。</w:t>
      </w:r>
    </w:p>
    <w:p w:rsidR="000E520F" w:rsidRDefault="00D34D5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管理人应通过电子邮件或双方认可的其他方式及时、完整、准确地向托管行提供投资品种池信息，如因基金管理人原因未向托管人提供投资品种池而造成托管行投资监督不及时的，基金托管人不承担相关责任。</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范围主要为具有良好流动性的金融工具，包括依法发行上市的股票（包括中小板、创业板及其他经中国证监会核准或注册上市的股票、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如法律法规或中国证监会以后允许基金投资其他品种，本基金管理人在履行适当程序后，可以将其纳入本基金的投资范围。</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本基金的投资组合比例为：本基金的股票资产占基金资产的</w:t>
      </w:r>
      <w:r>
        <w:rPr>
          <w:rFonts w:ascii="Arial Unicode MS" w:hAnsi="Arial Unicode MS" w:hint="eastAsia"/>
          <w:bCs/>
        </w:rPr>
        <w:t>60%-95%</w:t>
      </w:r>
      <w:r>
        <w:rPr>
          <w:rFonts w:ascii="Arial Unicode MS" w:hAnsi="Arial Unicode MS" w:hint="eastAsia"/>
          <w:bCs/>
        </w:rPr>
        <w:t>，投资于港股通标的股票的比例不低于非现金基金资产的</w:t>
      </w:r>
      <w:r>
        <w:rPr>
          <w:rFonts w:ascii="Arial Unicode MS" w:hAnsi="Arial Unicode MS" w:hint="eastAsia"/>
          <w:bCs/>
        </w:rPr>
        <w:t>80%</w:t>
      </w:r>
      <w:r>
        <w:rPr>
          <w:rFonts w:ascii="Arial Unicode MS" w:hAnsi="Arial Unicode MS" w:hint="eastAsia"/>
          <w:bCs/>
        </w:rPr>
        <w:t>。其中，投资于本基金界定的领先趋势主题相关证券的比例不低于非现金基金资产的</w:t>
      </w:r>
      <w:r>
        <w:rPr>
          <w:rFonts w:ascii="Arial Unicode MS" w:hAnsi="Arial Unicode MS" w:hint="eastAsia"/>
          <w:bCs/>
        </w:rPr>
        <w:t>80%</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。前述现金不包括结算备付金、存出保证金、应收申购款等。</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若法律法规的相关规定发生变更或监管机构允许，本基金管理人在履行适当程序后，可对上述资产配置比例进行调整。</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（二）基金托管人根据有关法律法规的规定及基金合同的约定，对基金投资、融资、融券比例进行监督。基金托管人按下述比例和调整期限进行监督：</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基金的投资组合应遵循以下限制：</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）股票资产占基金资产的比例为</w:t>
      </w:r>
      <w:r>
        <w:rPr>
          <w:rFonts w:ascii="Arial Unicode MS" w:hAnsi="Arial Unicode MS" w:hint="eastAsia"/>
          <w:bCs/>
        </w:rPr>
        <w:t>60%</w:t>
      </w:r>
      <w:r>
        <w:rPr>
          <w:rFonts w:ascii="Arial Unicode MS" w:hAnsi="Arial Unicode MS" w:hint="eastAsia"/>
          <w:bCs/>
        </w:rPr>
        <w:t>—</w:t>
      </w:r>
      <w:r>
        <w:rPr>
          <w:rFonts w:ascii="Arial Unicode MS" w:hAnsi="Arial Unicode MS" w:hint="eastAsia"/>
          <w:bCs/>
        </w:rPr>
        <w:t>95%</w:t>
      </w:r>
      <w:r>
        <w:rPr>
          <w:rFonts w:ascii="Arial Unicode MS" w:hAnsi="Arial Unicode MS" w:hint="eastAsia"/>
          <w:bCs/>
        </w:rPr>
        <w:t>，其中，投资于港股通标的股票的比例</w:t>
      </w:r>
      <w:r>
        <w:rPr>
          <w:rFonts w:ascii="Arial Unicode MS" w:hAnsi="Arial Unicode MS" w:hint="eastAsia"/>
          <w:bCs/>
        </w:rPr>
        <w:lastRenderedPageBreak/>
        <w:t>不低于非现金基金资产的</w:t>
      </w:r>
      <w:r>
        <w:rPr>
          <w:rFonts w:ascii="Arial Unicode MS" w:hAnsi="Arial Unicode MS" w:hint="eastAsia"/>
          <w:bCs/>
        </w:rPr>
        <w:t>80%</w:t>
      </w:r>
      <w:r>
        <w:rPr>
          <w:rFonts w:ascii="Arial Unicode MS" w:hAnsi="Arial Unicode MS" w:hint="eastAsia"/>
          <w:bCs/>
        </w:rPr>
        <w:t>，投资于领先趋势主题相关证券资产的比例不低于非现金基金资产的</w:t>
      </w:r>
      <w:r>
        <w:rPr>
          <w:rFonts w:ascii="Arial Unicode MS" w:hAnsi="Arial Unicode MS" w:hint="eastAsia"/>
          <w:bCs/>
        </w:rPr>
        <w:t>80%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。前述现金不包括结算备付金、存出保证金、应收申购款等；</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）本基金持有一家公司发行的证券，其市值（若同时持有一家公司发行的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股合计市值）不超过基金资产净值的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）本基金管理人管理且于本托管人托管的全部基金持有一家公司发行的证券，不超过该证券（若同时持有一家公司发行的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）本基金投资于同一原始权益人的各类资产支持证券的比例，不得超过基金资产净值的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）本基金持有的全部资产支持证券，其市值不得超过基金资产净值的</w:t>
      </w:r>
      <w:r>
        <w:rPr>
          <w:rFonts w:ascii="Arial Unicode MS" w:hAnsi="Arial Unicode MS" w:hint="eastAsia"/>
          <w:bCs/>
        </w:rPr>
        <w:t>20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）本基金持有的同一</w:t>
      </w:r>
      <w:r>
        <w:rPr>
          <w:rFonts w:ascii="Arial Unicode MS" w:hAnsi="Arial Unicode MS" w:hint="eastAsia"/>
          <w:bCs/>
        </w:rPr>
        <w:t>(</w:t>
      </w:r>
      <w:r>
        <w:rPr>
          <w:rFonts w:ascii="Arial Unicode MS" w:hAnsi="Arial Unicode MS" w:hint="eastAsia"/>
          <w:bCs/>
        </w:rPr>
        <w:t>指同一信用级别</w:t>
      </w:r>
      <w:r>
        <w:rPr>
          <w:rFonts w:ascii="Arial Unicode MS" w:hAnsi="Arial Unicode MS" w:hint="eastAsia"/>
          <w:bCs/>
        </w:rPr>
        <w:t>)</w:t>
      </w:r>
      <w:r>
        <w:rPr>
          <w:rFonts w:ascii="Arial Unicode MS" w:hAnsi="Arial Unicode MS" w:hint="eastAsia"/>
          <w:bCs/>
        </w:rPr>
        <w:t>资产支持证券的比例，不得超过该资产支持证券规模的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8</w:t>
      </w:r>
      <w:r>
        <w:rPr>
          <w:rFonts w:ascii="Arial Unicode MS" w:hAnsi="Arial Unicode MS" w:hint="eastAsia"/>
          <w:bCs/>
        </w:rPr>
        <w:t>）本基金管理人管理且于本托管人托管的全部基金投资于同一原始权益人的各类资产支持证券，不得超过其各类资产支持证券合计规模的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9</w:t>
      </w:r>
      <w:r>
        <w:rPr>
          <w:rFonts w:ascii="Arial Unicode MS" w:hAnsi="Arial Unicode MS" w:hint="eastAsia"/>
          <w:bCs/>
        </w:rPr>
        <w:t>）本基金应投资于信用级别评级为</w:t>
      </w:r>
      <w:r>
        <w:rPr>
          <w:rFonts w:ascii="Arial Unicode MS" w:hAnsi="Arial Unicode MS" w:hint="eastAsia"/>
          <w:bCs/>
        </w:rPr>
        <w:t>BBB</w:t>
      </w:r>
      <w:r>
        <w:rPr>
          <w:rFonts w:ascii="Arial Unicode MS" w:hAnsi="Arial Unicode MS" w:hint="eastAsia"/>
          <w:bCs/>
        </w:rPr>
        <w:t>以上</w:t>
      </w:r>
      <w:r>
        <w:rPr>
          <w:rFonts w:ascii="Arial Unicode MS" w:hAnsi="Arial Unicode MS" w:hint="eastAsia"/>
          <w:bCs/>
        </w:rPr>
        <w:t>(</w:t>
      </w:r>
      <w:r>
        <w:rPr>
          <w:rFonts w:ascii="Arial Unicode MS" w:hAnsi="Arial Unicode MS" w:hint="eastAsia"/>
          <w:bCs/>
        </w:rPr>
        <w:t>含</w:t>
      </w:r>
      <w:r>
        <w:rPr>
          <w:rFonts w:ascii="Arial Unicode MS" w:hAnsi="Arial Unicode MS" w:hint="eastAsia"/>
          <w:bCs/>
        </w:rPr>
        <w:t>BBB)</w:t>
      </w:r>
      <w:r>
        <w:rPr>
          <w:rFonts w:ascii="Arial Unicode MS" w:hAnsi="Arial Unicode MS" w:hint="eastAsia"/>
          <w:bCs/>
        </w:rPr>
        <w:t>的资产支持证券。基金持有资产支持证券期间，如果其信用等级下降、不再符合投资标准，应在评级报告发布之日起</w:t>
      </w:r>
      <w:r>
        <w:rPr>
          <w:rFonts w:ascii="Arial Unicode MS" w:hAnsi="Arial Unicode MS" w:hint="eastAsia"/>
          <w:bCs/>
        </w:rPr>
        <w:t>3</w:t>
      </w:r>
      <w:r>
        <w:rPr>
          <w:rFonts w:ascii="Arial Unicode MS" w:hAnsi="Arial Unicode MS" w:hint="eastAsia"/>
          <w:bCs/>
        </w:rPr>
        <w:t>个月内予以全部卖出；</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11</w:t>
      </w:r>
      <w:r>
        <w:rPr>
          <w:rFonts w:ascii="Arial Unicode MS" w:hAnsi="Arial Unicode MS" w:hint="eastAsia"/>
          <w:bCs/>
        </w:rPr>
        <w:t>）本基金进入全国银行间同业市场进行债券回购的资金余额不得超过基金资产净值的</w:t>
      </w:r>
      <w:r>
        <w:rPr>
          <w:rFonts w:ascii="Arial Unicode MS" w:hAnsi="Arial Unicode MS" w:hint="eastAsia"/>
          <w:bCs/>
        </w:rPr>
        <w:t>40%</w:t>
      </w:r>
      <w:r>
        <w:rPr>
          <w:rFonts w:ascii="Arial Unicode MS" w:hAnsi="Arial Unicode MS" w:hint="eastAsia"/>
          <w:bCs/>
        </w:rPr>
        <w:t>，进入全国银行间同业市场进行债券回购的最长期限为</w:t>
      </w:r>
      <w:r>
        <w:rPr>
          <w:rFonts w:ascii="Arial Unicode MS" w:hAnsi="Arial Unicode MS" w:hint="eastAsia"/>
          <w:bCs/>
        </w:rPr>
        <w:t>1</w:t>
      </w:r>
      <w:r>
        <w:rPr>
          <w:rFonts w:ascii="Arial Unicode MS" w:hAnsi="Arial Unicode MS" w:hint="eastAsia"/>
          <w:bCs/>
        </w:rPr>
        <w:t>年，债券回购到期后不得展期；</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12</w:t>
      </w:r>
      <w:r>
        <w:rPr>
          <w:rFonts w:ascii="Arial Unicode MS" w:hAnsi="Arial Unicode MS" w:hint="eastAsia"/>
          <w:bCs/>
        </w:rPr>
        <w:t>）本基金参与股指期货、国债期货投资的，应遵循下列限制：</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）本基金在任何交易日日终，持有的买入股指期货合约价值，不得超过基金资产净值</w:t>
      </w:r>
      <w:r>
        <w:rPr>
          <w:rFonts w:ascii="Arial Unicode MS" w:hAnsi="Arial Unicode MS" w:hint="eastAsia"/>
          <w:bCs/>
        </w:rPr>
        <w:lastRenderedPageBreak/>
        <w:t>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）每个交易日日终，本基金持有的买入股指期货和国债期货合约价值和有价证券市值之和，不得超过基金资产净值的</w:t>
      </w:r>
      <w:r>
        <w:rPr>
          <w:rFonts w:ascii="Arial Unicode MS" w:hAnsi="Arial Unicode MS" w:hint="eastAsia"/>
          <w:bCs/>
        </w:rPr>
        <w:t>95%</w:t>
      </w:r>
      <w:r>
        <w:rPr>
          <w:rFonts w:ascii="Arial Unicode MS" w:hAnsi="Arial Unicode MS" w:hint="eastAsia"/>
          <w:bCs/>
        </w:rPr>
        <w:t>；其中，有价证券指股票、债券（不含到期日在一年以内的政府债券）、资产支持证券、买入返售金融资产（不含质押式回购）等；</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）本基金在任何交易日日终，持有的卖出股指期货合约价值不得超过基金持有的股票总市值的</w:t>
      </w:r>
      <w:r>
        <w:rPr>
          <w:rFonts w:ascii="Arial Unicode MS" w:hAnsi="Arial Unicode MS" w:hint="eastAsia"/>
          <w:bCs/>
        </w:rPr>
        <w:t>20%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）本基金在任何交易日内交易（不包括平仓）的股指期货合约的成交金额不得超过上一交易日基金资产净值的</w:t>
      </w:r>
      <w:r>
        <w:rPr>
          <w:rFonts w:ascii="Arial Unicode MS" w:hAnsi="Arial Unicode MS" w:hint="eastAsia"/>
          <w:bCs/>
        </w:rPr>
        <w:t>20%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）本基金所持有的股票市值和买入、卖出股指期货合约价值，合计（轧差计算）应当符合基金合同关于股票投资比例的有关规定；</w:t>
      </w:r>
      <w:r>
        <w:rPr>
          <w:rFonts w:ascii="Arial Unicode MS" w:hAnsi="Arial Unicode MS" w:hint="eastAsia"/>
          <w:bCs/>
        </w:rPr>
        <w:t xml:space="preserve"> </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）本基金在任何交易日日终，持有的买入国债期货合约价值，不得超过基金资产净值的</w:t>
      </w:r>
      <w:r>
        <w:rPr>
          <w:rFonts w:ascii="Arial Unicode MS" w:hAnsi="Arial Unicode MS" w:hint="eastAsia"/>
          <w:bCs/>
        </w:rPr>
        <w:t>15%</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7</w:t>
      </w:r>
      <w:r>
        <w:rPr>
          <w:rFonts w:ascii="Arial Unicode MS" w:hAnsi="Arial Unicode MS" w:hint="eastAsia"/>
          <w:bCs/>
        </w:rPr>
        <w:t>）本基金在任何交易日日终，持有的卖出国债期货合约价值不得超过基金持有的债券总市值的</w:t>
      </w:r>
      <w:r>
        <w:rPr>
          <w:rFonts w:ascii="Arial Unicode MS" w:hAnsi="Arial Unicode MS" w:hint="eastAsia"/>
          <w:bCs/>
        </w:rPr>
        <w:t>30%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8</w:t>
      </w:r>
      <w:r>
        <w:rPr>
          <w:rFonts w:ascii="Arial Unicode MS" w:hAnsi="Arial Unicode MS" w:hint="eastAsia"/>
          <w:bCs/>
        </w:rPr>
        <w:t>）本基金在任何交易日内交易（不包括平仓）的国债期货合约的成交金额不得超过上一交易日基金资产净值的</w:t>
      </w:r>
      <w:r>
        <w:rPr>
          <w:rFonts w:ascii="Arial Unicode MS" w:hAnsi="Arial Unicode MS" w:hint="eastAsia"/>
          <w:bCs/>
        </w:rPr>
        <w:t>30%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9</w:t>
      </w:r>
      <w:r>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13</w:t>
      </w:r>
      <w:r>
        <w:rPr>
          <w:rFonts w:ascii="Arial Unicode MS" w:hAnsi="Arial Unicode MS" w:hint="eastAsia"/>
          <w:bCs/>
        </w:rPr>
        <w:t>）本基金参与股票期权交易的，需遵守下列规定：</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）因未平仓的股票期权合约支付和收取的权利金总额不得超过基金资产净值的</w:t>
      </w:r>
      <w:r>
        <w:rPr>
          <w:rFonts w:ascii="Arial Unicode MS" w:hAnsi="Arial Unicode MS" w:hint="eastAsia"/>
          <w:bCs/>
        </w:rPr>
        <w:t>10%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）未平仓的股票期权合约面值不得超过基金资产净值的</w:t>
      </w:r>
      <w:r>
        <w:rPr>
          <w:rFonts w:ascii="Arial Unicode MS" w:hAnsi="Arial Unicode MS" w:hint="eastAsia"/>
          <w:bCs/>
        </w:rPr>
        <w:t xml:space="preserve"> 20%</w:t>
      </w:r>
      <w:r>
        <w:rPr>
          <w:rFonts w:ascii="Arial Unicode MS" w:hAnsi="Arial Unicode MS" w:hint="eastAsia"/>
          <w:bCs/>
        </w:rPr>
        <w:t>。其中，合约面值按照行权价乘以合约乘数计算；</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14</w:t>
      </w:r>
      <w:r>
        <w:rPr>
          <w:rFonts w:ascii="Arial Unicode MS" w:hAnsi="Arial Unicode MS" w:hint="eastAsia"/>
          <w:bCs/>
        </w:rPr>
        <w:t>）本基金资产总值不得超过基金资产净值的</w:t>
      </w:r>
      <w:r>
        <w:rPr>
          <w:rFonts w:ascii="Arial Unicode MS" w:hAnsi="Arial Unicode MS" w:hint="eastAsia"/>
          <w:bCs/>
        </w:rPr>
        <w:t>140%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15</w:t>
      </w:r>
      <w:r>
        <w:rPr>
          <w:rFonts w:ascii="Arial Unicode MS" w:hAnsi="Arial Unicode MS" w:hint="eastAsia"/>
          <w:bCs/>
        </w:rPr>
        <w:t>）本基金管理人管理且于本托管人托管的全部开放式基金持有一家上市公司发行的可流通股票，不得超过该上市公司可流通股票的</w:t>
      </w:r>
      <w:r>
        <w:rPr>
          <w:rFonts w:ascii="Arial Unicode MS" w:hAnsi="Arial Unicode MS" w:hint="eastAsia"/>
          <w:bCs/>
        </w:rPr>
        <w:t>15%</w:t>
      </w:r>
      <w:r>
        <w:rPr>
          <w:rFonts w:ascii="Arial Unicode MS" w:hAnsi="Arial Unicode MS" w:hint="eastAsia"/>
          <w:bCs/>
        </w:rPr>
        <w:t>；本基金管理人管理且于本托管人</w:t>
      </w:r>
      <w:r>
        <w:rPr>
          <w:rFonts w:ascii="Arial Unicode MS" w:hAnsi="Arial Unicode MS" w:hint="eastAsia"/>
          <w:bCs/>
        </w:rPr>
        <w:lastRenderedPageBreak/>
        <w:t>托管的全部投资组合持有一家上市公司发行的可流通股票，不得超过该上市公司可流通股票的</w:t>
      </w:r>
      <w:r>
        <w:rPr>
          <w:rFonts w:ascii="Arial Unicode MS" w:hAnsi="Arial Unicode MS" w:hint="eastAsia"/>
          <w:bCs/>
        </w:rPr>
        <w:t>30%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）本基金主动投资于流动性受限资产的市值合计不得超过该基金资产净值的</w:t>
      </w:r>
      <w:r>
        <w:rPr>
          <w:rFonts w:ascii="Arial Unicode MS" w:hAnsi="Arial Unicode MS" w:hint="eastAsia"/>
          <w:bCs/>
        </w:rPr>
        <w:t>15%</w:t>
      </w:r>
      <w:r>
        <w:rPr>
          <w:rFonts w:ascii="Arial Unicode MS" w:hAnsi="Arial Unicode MS" w:hint="eastAsia"/>
          <w:bCs/>
        </w:rPr>
        <w:t>；因证券市场波动、上市公司股票停牌、基金规模变动等基金管理人之外的因素致使基金不符合该比例限制的，基金管理人不得主动新增流动性受限资产的投资；</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）本基金与私募类证券资管产品及中国证监会认定的其他主体为交易对手开展逆回购交易的，可接受质押品的资质要求应当与基金合同约定的投资范围保持一致；</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）本基金参与融资的，每个交易日日终，本基金持有的融资买入股票与其他有价证券市值之和，不得超过基金资产净值的</w:t>
      </w:r>
      <w:r>
        <w:rPr>
          <w:rFonts w:ascii="Arial Unicode MS" w:hAnsi="Arial Unicode MS" w:hint="eastAsia"/>
          <w:bCs/>
        </w:rPr>
        <w:t>95%</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19</w:t>
      </w:r>
      <w:r>
        <w:rPr>
          <w:rFonts w:ascii="Arial Unicode MS" w:hAnsi="Arial Unicode MS" w:hint="eastAsia"/>
          <w:bCs/>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bCs/>
        </w:rPr>
        <w:t>100%</w:t>
      </w:r>
      <w:r>
        <w:rPr>
          <w:rFonts w:ascii="Arial Unicode MS" w:hAnsi="Arial Unicode MS" w:hint="eastAsia"/>
          <w:bCs/>
        </w:rPr>
        <w:t>；</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20</w:t>
      </w:r>
      <w:r>
        <w:rPr>
          <w:rFonts w:ascii="Arial Unicode MS" w:hAnsi="Arial Unicode MS" w:hint="eastAsia"/>
          <w:bCs/>
        </w:rPr>
        <w:t>）本基金投资于同一信用保护卖方各类信用衍生品名义本金合计不得超过基金资产净值的</w:t>
      </w:r>
      <w:r>
        <w:rPr>
          <w:rFonts w:ascii="Arial Unicode MS" w:hAnsi="Arial Unicode MS" w:hint="eastAsia"/>
          <w:bCs/>
        </w:rPr>
        <w:t>10%</w:t>
      </w:r>
      <w:r>
        <w:rPr>
          <w:rFonts w:ascii="Arial Unicode MS" w:hAnsi="Arial Unicode MS" w:hint="eastAsia"/>
          <w:bCs/>
        </w:rPr>
        <w:t>；因证券</w:t>
      </w:r>
      <w:r>
        <w:rPr>
          <w:rFonts w:ascii="Arial Unicode MS" w:hAnsi="Arial Unicode MS" w:hint="eastAsia"/>
          <w:bCs/>
        </w:rPr>
        <w:t>/</w:t>
      </w:r>
      <w:r>
        <w:rPr>
          <w:rFonts w:ascii="Arial Unicode MS" w:hAnsi="Arial Unicode MS" w:hint="eastAsia"/>
          <w:bCs/>
        </w:rPr>
        <w:t>期货市场波动、证券发行人合并、基金规模变动等基金管理人之外的因素致使基金不符合前述所规定比例限制的，基金管理人应在</w:t>
      </w:r>
      <w:r>
        <w:rPr>
          <w:rFonts w:ascii="Arial Unicode MS" w:hAnsi="Arial Unicode MS" w:hint="eastAsia"/>
          <w:bCs/>
        </w:rPr>
        <w:t>3</w:t>
      </w:r>
      <w:r>
        <w:rPr>
          <w:rFonts w:ascii="Arial Unicode MS" w:hAnsi="Arial Unicode MS" w:hint="eastAsia"/>
          <w:bCs/>
        </w:rPr>
        <w:t>个月之内进行调整；</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21</w:t>
      </w:r>
      <w:r>
        <w:rPr>
          <w:rFonts w:ascii="Arial Unicode MS" w:hAnsi="Arial Unicode MS" w:hint="eastAsia"/>
          <w:bCs/>
        </w:rPr>
        <w:t>）法律法规及中国证监会规定的和《基金合同》约定的其他投资限制。</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除上述（</w:t>
      </w:r>
      <w:r>
        <w:rPr>
          <w:rFonts w:ascii="Arial Unicode MS" w:hAnsi="Arial Unicode MS" w:hint="eastAsia"/>
          <w:bCs/>
        </w:rPr>
        <w:t>2</w:t>
      </w:r>
      <w:r>
        <w:rPr>
          <w:rFonts w:ascii="Arial Unicode MS" w:hAnsi="Arial Unicode MS" w:hint="eastAsia"/>
          <w:bCs/>
        </w:rPr>
        <w:t>）、（</w:t>
      </w:r>
      <w:r>
        <w:rPr>
          <w:rFonts w:ascii="Arial Unicode MS" w:hAnsi="Arial Unicode MS" w:hint="eastAsia"/>
          <w:bCs/>
        </w:rPr>
        <w:t>9</w:t>
      </w: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w:t>
      </w:r>
      <w:r>
        <w:rPr>
          <w:rFonts w:ascii="Arial Unicode MS" w:hAnsi="Arial Unicode MS" w:hint="eastAsia"/>
          <w:bCs/>
        </w:rPr>
        <w:t>20</w:t>
      </w:r>
      <w:r>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bCs/>
        </w:rPr>
        <w:t>10</w:t>
      </w:r>
      <w:r>
        <w:rPr>
          <w:rFonts w:ascii="Arial Unicode MS" w:hAnsi="Arial Unicode MS" w:hint="eastAsia"/>
          <w:bCs/>
        </w:rPr>
        <w:t>个交易日内进行调整，但法律法规或中国证监会规定的特殊情形除外。</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基金管理人应当自基金合同生效之日起</w:t>
      </w:r>
      <w:r>
        <w:rPr>
          <w:rFonts w:ascii="Arial Unicode MS" w:hAnsi="Arial Unicode MS" w:hint="eastAsia"/>
          <w:bCs/>
        </w:rPr>
        <w:t>6</w:t>
      </w:r>
      <w:r>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rsidR="000E520F" w:rsidRDefault="00D34D5D">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（三）基金托管人根据有关法律法规的规定及基金合同的约定，对本托管协议第十五条第九款基金投资禁止行为进行监督。基金托管人通过事后监督方式对基金管理人基金投资禁止行为进行监督。</w:t>
      </w:r>
      <w:r>
        <w:rPr>
          <w:rFonts w:ascii="Arial Unicode MS" w:hAnsi="Arial Unicode MS" w:cs="Arial" w:hint="eastAsia"/>
        </w:rPr>
        <w:t xml:space="preserve"> </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基金管理人运用基金财产买卖基金管理人、基金托管人及其控股股东、实际控制人或者与其有重大利害关系的公司发行的证券或者承销期内承销的证券，或者从事其他重大关联交</w:t>
      </w:r>
      <w:r>
        <w:rPr>
          <w:rFonts w:ascii="Arial Unicode MS" w:hAnsi="Arial Unicode MS" w:cs="Arial" w:hint="eastAsia"/>
        </w:rPr>
        <w:lastRenderedPageBreak/>
        <w:t>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法律、行政法规或监管部门取消或变更上述禁止性规定，如适用于本基金，基金管理人在履行适当程序后，则本基金投资不再受相关限制或按变更后的规定执行。</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（五）</w:t>
      </w:r>
      <w:r>
        <w:rPr>
          <w:rFonts w:ascii="Arial Unicode MS" w:hAnsi="Arial Unicode MS" w:cs="Arial" w:hint="eastAsia"/>
        </w:rPr>
        <w:t xml:space="preserve"> </w:t>
      </w:r>
      <w:r>
        <w:rPr>
          <w:rFonts w:ascii="Arial Unicode MS" w:hAnsi="Arial Unicode MS" w:cs="Arial" w:hint="eastAsia"/>
        </w:rPr>
        <w:t>基金托管人根据有关法律法规的规定及基金合同的约定，对基金管理人投资流通受限证券相关事项进行监督。</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首次投资流通受限证券前，基金管理人应与基金托管人就流通受限证券投资签订风险控制补充协议。</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本基金投资的流通受限证券与上文提及的流动性受限资产并不完全一致，须为经中国证监会批准的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本基金投资的流通受限证券限于可由中国证券登记结算有限责任公司或中央国债登记结算有限责任公司、银行间</w:t>
      </w:r>
      <w:r w:rsidR="00F95ADB">
        <w:rPr>
          <w:rFonts w:ascii="Arial Unicode MS" w:hAnsi="Arial Unicode MS" w:cs="Arial" w:hint="eastAsia"/>
        </w:rPr>
        <w:t>市场</w:t>
      </w:r>
      <w:r>
        <w:rPr>
          <w:rFonts w:ascii="Arial Unicode MS" w:hAnsi="Arial Unicode MS" w:cs="Arial" w:hint="eastAsia"/>
        </w:rPr>
        <w:t>清算所股份有限公司负责登记和存管，并可在证券交易所或全国银行间债券市场交易的证券。</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基金投资的流通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流通受限证券存管直接影响本基金安全的责任及损失，由基金管理人承担。</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本基金投资流通受限证券，不得预付任何形式的保证金。</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如因基金管理人违反基金合同或预先确定的投资流通受限证券的比例导致本基金出现损失致使基金托管人承担连带赔偿责任的，基金管理人应赔偿基金托管人由此遭受的损失。</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本基金有关投资流通受限证券比例如违反有关限制规定，在合理期限内未能进行及时调整，基金管理人应在两日内编制临时报告书，予以公告。</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基金托管人根据有关规定有权对基金管理人进行以下事项监督：</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本基金投资流通受限证券时的法律法规遵守情况。</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在基金投资流通受限证券管理工作方面有关制度、流动性风险处置预案的建立与完善情况。</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有关比例限制的执行情况。</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信息披露情况。</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相关法律法规对基金投资流通受限证券有新规定的，从其规定。</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六）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w:t>
      </w:r>
      <w:r>
        <w:rPr>
          <w:rFonts w:ascii="Arial Unicode MS" w:hAnsi="Arial Unicode MS" w:cs="Arial" w:hint="eastAsia"/>
        </w:rPr>
        <w:t>(</w:t>
      </w:r>
      <w:r>
        <w:rPr>
          <w:rFonts w:ascii="Arial Unicode MS" w:hAnsi="Arial Unicode MS" w:cs="Arial" w:hint="eastAsia"/>
        </w:rPr>
        <w:t>以下简称“《制度》”</w:t>
      </w:r>
      <w:r>
        <w:rPr>
          <w:rFonts w:ascii="Arial Unicode MS" w:hAnsi="Arial Unicode MS" w:cs="Arial" w:hint="eastAsia"/>
        </w:rPr>
        <w:t>)</w:t>
      </w:r>
      <w:r>
        <w:rPr>
          <w:rFonts w:ascii="Arial Unicode MS" w:hAnsi="Arial Unicode MS" w:cs="Arial" w:hint="eastAsia"/>
        </w:rPr>
        <w:t>，以规范对中期票据的投资决策流程、风险控制。基金管理人《制度》的内容与本协议不一致的，以本协议的约定为准。</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基金投资中期票据应遵循以下投资限制：</w:t>
      </w:r>
      <w:r>
        <w:rPr>
          <w:rFonts w:ascii="Arial Unicode MS" w:hAnsi="Arial Unicode MS" w:cs="Arial" w:hint="eastAsia"/>
        </w:rPr>
        <w:t xml:space="preserve"> </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中期票据属于固定收益类证券，基金投资中期票据应符合法律、法规及《基金合同》中关于该基金投资固定收益类证券的相关比例及期限限制。</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2.</w:t>
      </w:r>
      <w:r>
        <w:rPr>
          <w:rFonts w:ascii="Arial Unicode MS" w:hAnsi="Arial Unicode MS" w:cs="Arial" w:hint="eastAsia"/>
        </w:rPr>
        <w:t>基金托管人对基金管理人流动性风险处置的监督职责限于：</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w:t>
      </w:r>
      <w:r>
        <w:rPr>
          <w:rFonts w:ascii="Arial Unicode MS" w:hAnsi="Arial Unicode MS" w:cs="Arial" w:hint="eastAsia"/>
        </w:rPr>
        <w:t xml:space="preserve">, </w:t>
      </w:r>
      <w:r>
        <w:rPr>
          <w:rFonts w:ascii="Arial Unicode MS" w:hAnsi="Arial Unicode MS" w:cs="Arial" w:hint="eastAsia"/>
        </w:rPr>
        <w:t>督促基金管理人改正。基金管理人违规事项未能在限期内纠正的，基金托管人应报告中国证监会。</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如因证券市场波动、证券发行人合并、基金规模变动等基金管理人之外的因素，基金管理人投资的中期票据超过投资比例的，基金托管人有权要求基金管理人在</w:t>
      </w:r>
      <w:r>
        <w:rPr>
          <w:rFonts w:ascii="Arial Unicode MS" w:hAnsi="Arial Unicode MS" w:cs="Arial" w:hint="eastAsia"/>
        </w:rPr>
        <w:t>10</w:t>
      </w:r>
      <w:r>
        <w:rPr>
          <w:rFonts w:ascii="Arial Unicode MS" w:hAnsi="Arial Unicode MS" w:cs="Arial" w:hint="eastAsia"/>
        </w:rPr>
        <w:t>个交易日内将中期票据调整至规定的比例要求，但法律法规或中国证监会规定的特殊情形除外。</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七）基金如投资银行存款，基金托管人根据有关法律法规的规定及基金合同的约定，对基金投资银行存款的交易对手范围是否符合有关规定进行监督；基金管理人在签署银行存款协议前，应将草拟的银行存款协议送基金托管人审核。</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八）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九）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十一）若基金托管人发现基金管理人依据交易程序已经生效的指令违反法律、行政法规和其他有关规定，或者违反基金合同约定的，应当立即通知基金管理人，由此造成的损失由基金管理人承担，并及时向中国证监会报告。</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（十二）基金托管人发现基金管理人有重大违规行为，应及时报告中国证监会，同时通知基金管理人限期纠正，并将纠正结果报告中国证监会。基金管理人无正当理由，拒绝、阻</w:t>
      </w:r>
      <w:r>
        <w:rPr>
          <w:rFonts w:ascii="Arial Unicode MS" w:hAnsi="Arial Unicode MS" w:cs="Arial" w:hint="eastAsia"/>
        </w:rPr>
        <w:lastRenderedPageBreak/>
        <w:t>挠对方根据本托管协议规定行使监督权，或采取拖延、欺诈等手段妨碍对方进行有效监督，情节严重或经基金托管人提出警告仍不改正的，基金托管人应报告中国证监会。</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十三）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（十四）基金管理人进行股票期权业务投资前，应与基金托管人对投资方式和投资品种进行沟通，确认基金托管人系统支持后进行投资。</w:t>
      </w:r>
    </w:p>
    <w:p w:rsidR="000E520F" w:rsidRDefault="00D34D5D">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三、基金管理人对基金托管人的业务核查</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基金管理人对基金托管人履行托管职责情况进行核查，核查事项包括基金托管人安全保管基金财产、开设基金财产的资金账户、证券账户等投资所需账户、复核基金管理人计算的基金资产净值、各类基金份额净值、根据基金管理人指令办理清算交收、相关信息披露和监督基金投资运作等行为。</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E520F" w:rsidRDefault="00D34D5D">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E520F" w:rsidRDefault="00D34D5D">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四、基金财产的保管</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（一）基金财产保管的原则</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基金管理人、基金托管人因依法解散、被依法撤销或者被依法宣告破产等原因进行清算的，基金财产不属于其清算财产。</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基金托管人应安全保管基金财产。未经基金管理人依据合法程序作出的合法合规指令，基金托管人不得自行运用、处分、分配基金的任何财产。非因基金财产本身承担的债务，</w:t>
      </w:r>
      <w:r>
        <w:rPr>
          <w:rFonts w:ascii="宋体" w:hAnsi="宋体" w:cs="Arial" w:hint="eastAsia"/>
          <w:szCs w:val="21"/>
        </w:rPr>
        <w:lastRenderedPageBreak/>
        <w:t>不得对基金财产强制执行。</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ab/>
        <w:t>基金托管人按照规定开设基金财产的资金账户和证券账户等投资所需账户。</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hint="eastAsia"/>
          <w:szCs w:val="21"/>
        </w:rPr>
        <w:tab/>
        <w:t>基金托管人对所托管的不同基金财产分别设置账户，独立核算，分账管理，确保基金财产的完整与独立。</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6.</w:t>
      </w:r>
      <w:r>
        <w:rPr>
          <w:rFonts w:ascii="宋体" w:hAnsi="宋体" w:cs="Arial" w:hint="eastAsia"/>
          <w:szCs w:val="21"/>
        </w:rPr>
        <w:tab/>
        <w:t>基金托管人根据基金管理人的指令，按照基金合同和本协议的约定保管基金财产，如有特殊情况双方可另行协商解决。</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Pr>
          <w:rFonts w:ascii="宋体" w:hAnsi="宋体" w:cs="Arial" w:hint="eastAsia"/>
          <w:szCs w:val="21"/>
        </w:rPr>
        <w:tab/>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8.</w:t>
      </w:r>
      <w:r>
        <w:rPr>
          <w:rFonts w:ascii="宋体" w:hAnsi="宋体" w:cs="Arial" w:hint="eastAsia"/>
          <w:szCs w:val="21"/>
        </w:rPr>
        <w:tab/>
        <w:t>除依据法律法规和基金合同的规定外，基金托管人不得委托第三人托管基金财产。</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（二）基金募集期间及募集资金的验资</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基金募集期间应开立“基金募集专户”，用于存放募集的资金。该账户由基金管理人开立。</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募集期满或基金停止募集时，基金募集金额、基金认购人数符合《基金法》、《运作办法》等有关规定后，基金管理人应将属于基金财产的全部资金划入基金托管人为本基金开立的基金银行账户，同时在规定时间内，聘请符合《证券法》规定的会计师事务所进行验资，出具验资报告。出具的验资报告由参加验资的2名或2名以上中国注册会计师签字并加盖会计师事务所公章方为有效。</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若基金募集期限届满或基金停止募集时，未能达到基金合同生效的条件，由基金管理人按规定办理退款等事宜，基金托管人应提供充分协助。</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（三）基金银行账户的开立和管理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基金托管人应负责本基金的银行账户的开设和管理。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托管人应以本基金名义在其营业机构开立基金的银行账户，并根据基金管理人合法合规的指令办理资金收付。账户名称、账户预留印鉴以基金管理人向基金托管人出具的开户委托文件为准，基金托管人负责账户预留印鉴的保管和使用。该账户为不可提现账户。基金管理人应依法履行受益所有人识别义务，在开立托管账户时按照开户银行要求，就相关信息的提供、核实等提供必要的协助，并确保所提供信息以及证明材料的真实性、准确性。</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基金银行账户的开立和使用，限于满足开展本基金业务的需要。基金托管人和基金管理人不得假借本基金的名义开立任何其他银行账户；亦不得使用基金的任何账户进行本基金业务以外的活动。</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ab/>
        <w:t>基金银行账户的开立和管理应符合银行业监督管理机构的有关规定。</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hint="eastAsia"/>
          <w:szCs w:val="21"/>
        </w:rPr>
        <w:tab/>
        <w:t>在符合法律法规规定的条件下，基金托管人可以通过基金托管人专用账户办理基金资产的支付。</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（四）基金证券账户和结算备付金账户的开立和管理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基金托管人在中国证券登记结算有限责任公司上海分公司、深圳分公司为本基金开立基金托管人与本基金联名的证券账户。</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基金证券账户的开立由基金托管人负责，账户资产的管理和运用由基金管理人负责。</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ab/>
        <w:t>基金托管人以自身法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hint="eastAsia"/>
          <w:szCs w:val="21"/>
        </w:rPr>
        <w:tab/>
        <w:t>若中国证监会或其他监管机构在本托管协议订立日之后允许基金从事其他投资品种的投资业务，涉及相关账户的开立、使用的，若无相关规定，则基金托管人比照上述关于账户开立、使用的规定执行。</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（五）债券托管账户的开设和管理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合同生效后，基金托管人根据中国人民银行、中央国债登记结算有限责任公司的有关规定，在中央国债登记结算有限责任公司、银行间市场清算所股份有限公司开立债券托管账户，并代表基金进行银行间市场债券的结算。基金管理人和基金托管人共同代表基金签订全国银行间债券市场债券回购主协议。</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（六）其他账户的开立和管理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因业务发展需要而开立的其他账户，可以根据法律法规和基金合同的规定开立，在基金管理人和基金托管人商议后由基金托管人负责开立。新账户按有关规定使用并管理。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法律法规等有关规定对相关账户的开立和管理另有规定的，从其规定办理。</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（七）基金财产投资的有关有价凭证等的保管</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但基金托管人应妥善保管保管凭证。</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（八）与基金财产有关的重大合同的保管</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w:t>
      </w:r>
      <w:r>
        <w:rPr>
          <w:rFonts w:ascii="宋体" w:hAnsi="宋体" w:cs="Arial" w:hint="eastAsia"/>
          <w:szCs w:val="21"/>
        </w:rPr>
        <w:lastRenderedPageBreak/>
        <w:t>基金信息披露协议及基金投资业务中产生的重大合同，基金管理人应保证基金管理人和基金托管人至少各持有一份正本的原件。基金托管人对重大合同的保管期限为基金合同终止后20年，法律法规或监管规则另有规定的从其规定。</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对于无法取得二份以上的正本的，基金管理人应向基金托管人提供加盖授权业务章的合同传真件，未经双方协商或未在合同约定范围内，合同原件不得转移。</w:t>
      </w:r>
    </w:p>
    <w:p w:rsidR="000E520F" w:rsidRDefault="00D34D5D">
      <w:pPr>
        <w:adjustRightInd w:val="0"/>
        <w:snapToGrid w:val="0"/>
        <w:spacing w:line="360" w:lineRule="auto"/>
        <w:ind w:firstLineChars="200" w:firstLine="422"/>
        <w:rPr>
          <w:rFonts w:ascii="宋体" w:hAnsi="宋体" w:cs="Arial"/>
          <w:b/>
          <w:szCs w:val="21"/>
        </w:rPr>
      </w:pPr>
      <w:r>
        <w:rPr>
          <w:rFonts w:ascii="宋体" w:hAnsi="宋体" w:cs="Arial" w:hint="eastAsia"/>
          <w:b/>
          <w:szCs w:val="21"/>
        </w:rPr>
        <w:t>五、基金资产净值计算和会计核算</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（一）基金资产净值的计算、复核与完成的时间及程序</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基金资产净值</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基金资产净值是指基金资产总值减去基金负债后的价值。</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各类基金份额净值是按照每个工作日闭市后，该类基金资产净值除以当日该类基金份额的余额数量计算，均精确到0.0001元，小数点后第5位四舍五入。基金管理人可以设立大额赎回情形下的净值精度应急调整机制。国家另有规定的，从其规定。</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基金管理人于每个工作日计算基金资产净值及各类基金份额净值，并按规定公告。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复核程序</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rsidR="000E520F" w:rsidRDefault="00D34D5D">
      <w:pPr>
        <w:adjustRightInd w:val="0"/>
        <w:snapToGrid w:val="0"/>
        <w:spacing w:line="360" w:lineRule="auto"/>
        <w:ind w:firstLineChars="200" w:firstLine="422"/>
        <w:rPr>
          <w:rFonts w:ascii="宋体" w:hAnsi="宋体" w:cs="Arial"/>
          <w:b/>
          <w:szCs w:val="21"/>
        </w:rPr>
      </w:pPr>
      <w:r>
        <w:rPr>
          <w:rFonts w:ascii="宋体" w:hAnsi="宋体" w:cs="Arial" w:hint="eastAsia"/>
          <w:b/>
          <w:szCs w:val="21"/>
        </w:rPr>
        <w:t>六、基金份额持有人名册的保管</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份额持有人名册至少应包括基金份额持有人的名称和持有的基金份额。基金份额持有人名册由基金登记机构根据基金管理人的指令编制和保管，保存期自基金账户销户之日起不少于20年，基金管理人和基金托管人应分别保管基金份额持有人名册，保存期不少于20年，法律法规另有规定或有权机关另有要求的除外。如不能妥善保管，则按相关法规承担责任。</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E520F" w:rsidRPr="00EC3CA1" w:rsidRDefault="00D34D5D" w:rsidP="00EC3CA1">
      <w:pPr>
        <w:adjustRightInd w:val="0"/>
        <w:snapToGrid w:val="0"/>
        <w:spacing w:line="360" w:lineRule="auto"/>
        <w:ind w:firstLineChars="200" w:firstLine="422"/>
        <w:rPr>
          <w:rFonts w:ascii="宋体" w:hAnsi="宋体" w:cs="Arial"/>
          <w:b/>
          <w:szCs w:val="21"/>
        </w:rPr>
      </w:pPr>
      <w:r w:rsidRPr="00EC3CA1">
        <w:rPr>
          <w:rFonts w:ascii="宋体" w:hAnsi="宋体" w:cs="Arial" w:hint="eastAsia"/>
          <w:b/>
          <w:szCs w:val="21"/>
        </w:rPr>
        <w:t>七、</w:t>
      </w:r>
      <w:r w:rsidRPr="00EC3CA1">
        <w:rPr>
          <w:rFonts w:ascii="宋体" w:hAnsi="宋体" w:cs="Arial"/>
          <w:b/>
          <w:szCs w:val="21"/>
        </w:rPr>
        <w:t>争议解决方式</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因本托管协议产生或与之相关的争议，双方当事人应通过协商、调解解决，如不愿或者不能通过协商、调解解决的，任何一方均有权将争议提交深圳国际仲裁院（深圳仲裁委员会），按照深圳国际仲裁院（深圳仲裁委员会）届时有效的仲裁规则进行仲裁。仲裁地点为深圳市。仲裁裁决是终局的，对双方当事人均有约束力。除非仲裁裁决另有规定，仲裁费用、律师费用由败诉方承担。</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争议处理期间，本托管协议双方当事人应恪守基金管理人和基金托管人职责，各自继续忠实、勤勉、尽责地履行基金合同和本托管协议规定的义务，维护基金份额持有人的合法权</w:t>
      </w:r>
      <w:r>
        <w:rPr>
          <w:rFonts w:ascii="宋体" w:hAnsi="宋体" w:cs="Arial" w:hint="eastAsia"/>
          <w:szCs w:val="21"/>
        </w:rPr>
        <w:lastRenderedPageBreak/>
        <w:t>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本协议受中国法律（为本协议之目的，在此不包括香港、澳门特别行政区和台湾地区法律）管辖，并按其解释。</w:t>
      </w:r>
    </w:p>
    <w:p w:rsidR="000E520F" w:rsidRPr="00EC3CA1" w:rsidRDefault="00D34D5D" w:rsidP="00EC3CA1">
      <w:pPr>
        <w:adjustRightInd w:val="0"/>
        <w:snapToGrid w:val="0"/>
        <w:spacing w:line="360" w:lineRule="auto"/>
        <w:ind w:firstLineChars="200" w:firstLine="422"/>
        <w:rPr>
          <w:rFonts w:ascii="宋体" w:hAnsi="宋体" w:cs="Arial"/>
          <w:b/>
          <w:szCs w:val="21"/>
        </w:rPr>
      </w:pPr>
      <w:r w:rsidRPr="00EC3CA1">
        <w:rPr>
          <w:rFonts w:ascii="宋体" w:hAnsi="宋体" w:cs="Arial" w:hint="eastAsia"/>
          <w:b/>
          <w:szCs w:val="21"/>
        </w:rPr>
        <w:t>八</w:t>
      </w:r>
      <w:r w:rsidRPr="00EC3CA1">
        <w:rPr>
          <w:rFonts w:ascii="宋体" w:hAnsi="宋体" w:cs="Arial"/>
          <w:b/>
          <w:szCs w:val="21"/>
        </w:rPr>
        <w:t>、</w:t>
      </w:r>
      <w:r w:rsidRPr="00EC3CA1">
        <w:rPr>
          <w:rFonts w:ascii="宋体" w:hAnsi="宋体" w:cs="Arial" w:hint="eastAsia"/>
          <w:b/>
          <w:szCs w:val="21"/>
        </w:rPr>
        <w:t>托管协议</w:t>
      </w:r>
      <w:r w:rsidRPr="00EC3CA1">
        <w:rPr>
          <w:rFonts w:ascii="宋体" w:hAnsi="宋体" w:cs="Arial"/>
          <w:b/>
          <w:szCs w:val="21"/>
        </w:rPr>
        <w:t>的修改与</w:t>
      </w:r>
      <w:r w:rsidRPr="00EC3CA1">
        <w:rPr>
          <w:rFonts w:ascii="宋体" w:hAnsi="宋体" w:cs="Arial" w:hint="eastAsia"/>
          <w:b/>
          <w:szCs w:val="21"/>
        </w:rPr>
        <w:t>终止</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（一）本托管协议的变更程序</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本托管协议双方当事人经协商一致，可以对本托管协议进行修改。修改后的新托管协议，其内容不得与基金合同的规定有任何冲突。基金托管协议的变更报中国证监会备案。</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（二）基金托管协议终止出现的情形</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1.基金合同终止；</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2.基金托管人解散、依法被撤销、破产或由其他基金托管人接管基金资产；</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3.基金管理人解散、依法被撤销、破产或由其他基金管理人接管基金管理权；</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4.发生法律法规、中国证监会或基金合同规定的终止事项。</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（三）基金财产的清算</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1.基金财产清算小组</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（1）基金财产清算小组：自出现《基金合同》终止事由之日起30个工作日内成立基金财产清算小组，基金管理人组织基金财产清算小组并在中国证监会的监督下进行基金清算。</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（2）在基金财产清算小组接管基金财产之前，基金管理人和基金托管人应按照《基金合同》和托管协议的规定继续履行保护基金财产安全的职责。</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（3）基金财产清算小组组成：基金财产清算小组成员由基金管理人、基金托管人、符合《证券法》规定的注册会计师、律师以及中国证监会指定的人员组成。基金财产清算小组可以聘用必要的工作人员。</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（4）基金财产清算小组职责：基金财产清算小组负责基金财产的保管、清理、估价、变现和分配。基金财产清算小组可以依法进行必要的民事活动。</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（5）在基金财产清算过程中，基金管理人和基金托管人应各自履行职责，继续忠实、勤勉、尽责地履行基金合同和托管协议规定的义务，维护基金份额持有人的合法权益。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2.基金财产清算程序</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  （1）《基金合同》终止情形出现时，由基金财产清算小组统一接管基金；</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（2）对基金财产和债权债务进行清理和确认；</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（3）对基金财产进行估值和变现；</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（4）制作清算报告；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（5）聘请会计师事务所对清算报告进行外部审计，聘请律师事务所对清算报告出具法律意见书；</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（6）将清算报告报中国证监会备案并公告；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（7）对基金剩余财产进行分配。</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基金财产清算的期限为6个月，但因本基金所持证券的流动性受到限制而不能及时变现的，清算期限可相应顺延。</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3.清算费用</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清算费用是指基金财产清算小组在进行基金清算过程中发生的所有合理费用，清算费用由基金财产清算小组优先从基金剩余财产中支付。</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4.基金财产清算剩余资产的分配</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5.基金财产清算的公告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6.基金财产清算账册及文件的保存</w:t>
      </w:r>
    </w:p>
    <w:p w:rsidR="000E520F" w:rsidRDefault="00D34D5D">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基金财产清算账册及有关文件由基金托管人保存20年以上，法律法规或监管规则另有规定的从其规定。</w:t>
      </w:r>
    </w:p>
    <w:p w:rsidR="000E520F" w:rsidRDefault="000E520F" w:rsidP="00EC3CA1">
      <w:pPr>
        <w:adjustRightInd w:val="0"/>
        <w:snapToGrid w:val="0"/>
        <w:spacing w:line="360" w:lineRule="auto"/>
        <w:ind w:firstLineChars="200" w:firstLine="422"/>
        <w:rPr>
          <w:rFonts w:ascii="Arial Unicode MS" w:hAnsi="Arial Unicode MS" w:cs="Arial"/>
          <w:b/>
        </w:rPr>
        <w:sectPr w:rsidR="000E520F">
          <w:footerReference w:type="default" r:id="rId53"/>
          <w:footerReference w:type="first" r:id="rId54"/>
          <w:pgSz w:w="11906" w:h="16838"/>
          <w:pgMar w:top="1440" w:right="1800" w:bottom="1440" w:left="1800" w:header="851" w:footer="992" w:gutter="0"/>
          <w:pgNumType w:start="1"/>
          <w:cols w:space="720"/>
          <w:titlePg/>
          <w:docGrid w:linePitch="312"/>
        </w:sectPr>
      </w:pPr>
    </w:p>
    <w:p w:rsidR="000E520F" w:rsidRDefault="00D34D5D">
      <w:pPr>
        <w:pStyle w:val="11"/>
        <w:snapToGrid w:val="0"/>
        <w:spacing w:before="0" w:after="0" w:line="360" w:lineRule="auto"/>
        <w:rPr>
          <w:rFonts w:ascii="Arial Unicode MS" w:eastAsia="宋体" w:hAnsi="Arial Unicode MS" w:cs="Arial"/>
          <w:b/>
          <w:bCs/>
          <w:sz w:val="28"/>
          <w:szCs w:val="28"/>
        </w:rPr>
      </w:pPr>
      <w:bookmarkStart w:id="180" w:name="_Toc21073396"/>
      <w:bookmarkStart w:id="181" w:name="_Toc12357176"/>
      <w:bookmarkStart w:id="182" w:name="_Toc147463123"/>
      <w:bookmarkStart w:id="183" w:name="_Toc317088165"/>
      <w:bookmarkStart w:id="184" w:name="_Toc214873621"/>
      <w:bookmarkStart w:id="185" w:name="_Toc335232708"/>
      <w:bookmarkStart w:id="186" w:name="_Toc320887659"/>
      <w:bookmarkStart w:id="187" w:name="_Toc317088554"/>
      <w:bookmarkStart w:id="188" w:name="_Toc47622433"/>
      <w:bookmarkStart w:id="189" w:name="_Toc429490297"/>
      <w:bookmarkStart w:id="190" w:name="_Toc48416561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91" w:name="_Toc47604325"/>
      <w:bookmarkEnd w:id="180"/>
      <w:bookmarkEnd w:id="181"/>
      <w:bookmarkEnd w:id="182"/>
      <w:r>
        <w:rPr>
          <w:rFonts w:ascii="Arial Unicode MS" w:eastAsia="宋体" w:hAnsi="Arial Unicode MS" w:cs="Arial"/>
          <w:b/>
          <w:bCs/>
          <w:sz w:val="28"/>
          <w:szCs w:val="28"/>
        </w:rPr>
        <w:t>对基金份额持有人的服务</w:t>
      </w:r>
      <w:bookmarkEnd w:id="183"/>
      <w:bookmarkEnd w:id="184"/>
      <w:bookmarkEnd w:id="185"/>
      <w:bookmarkEnd w:id="186"/>
      <w:bookmarkEnd w:id="187"/>
      <w:bookmarkEnd w:id="188"/>
      <w:bookmarkEnd w:id="189"/>
      <w:bookmarkEnd w:id="191"/>
    </w:p>
    <w:p w:rsidR="000E520F" w:rsidRDefault="000E520F">
      <w:pPr>
        <w:autoSpaceDE w:val="0"/>
        <w:autoSpaceDN w:val="0"/>
        <w:adjustRightInd w:val="0"/>
        <w:snapToGrid w:val="0"/>
        <w:spacing w:line="360" w:lineRule="auto"/>
        <w:ind w:firstLineChars="200" w:firstLine="420"/>
        <w:rPr>
          <w:szCs w:val="21"/>
        </w:rPr>
      </w:pPr>
    </w:p>
    <w:p w:rsidR="000E520F" w:rsidRDefault="00D34D5D">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rsidR="000E520F" w:rsidRDefault="00D34D5D">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rsidR="000E520F" w:rsidRDefault="00D34D5D">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5"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rsidR="000E520F" w:rsidRDefault="00D34D5D">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rsidR="000E520F" w:rsidRDefault="00D34D5D">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6" w:history="1">
        <w:r>
          <w:rPr>
            <w:rFonts w:ascii="Arial" w:hAnsi="Arial"/>
            <w:spacing w:val="8"/>
            <w:szCs w:val="21"/>
          </w:rPr>
          <w:t>service@bosera.com</w:t>
        </w:r>
      </w:hyperlink>
    </w:p>
    <w:p w:rsidR="000E520F" w:rsidRDefault="00D34D5D">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rsidR="000E520F" w:rsidRDefault="00D34D5D">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rsidR="000E520F" w:rsidRDefault="000E520F">
      <w:pPr>
        <w:adjustRightInd w:val="0"/>
        <w:snapToGrid w:val="0"/>
        <w:spacing w:line="360" w:lineRule="auto"/>
        <w:ind w:firstLineChars="150" w:firstLine="316"/>
        <w:rPr>
          <w:rFonts w:ascii="Arial Unicode MS" w:hAnsi="Arial Unicode MS" w:cs="Arial"/>
          <w:b/>
          <w:kern w:val="0"/>
          <w:szCs w:val="21"/>
        </w:rPr>
        <w:sectPr w:rsidR="000E520F">
          <w:footerReference w:type="default" r:id="rId57"/>
          <w:footerReference w:type="first" r:id="rId58"/>
          <w:pgSz w:w="11906" w:h="16838"/>
          <w:pgMar w:top="1440" w:right="1800" w:bottom="1440" w:left="1800" w:header="851" w:footer="992" w:gutter="0"/>
          <w:pgNumType w:start="1"/>
          <w:cols w:space="720"/>
          <w:titlePg/>
          <w:docGrid w:linePitch="312"/>
        </w:sectPr>
      </w:pPr>
      <w:bookmarkStart w:id="192" w:name="_Toc335232709"/>
      <w:bookmarkStart w:id="193" w:name="_Toc320887660"/>
      <w:bookmarkStart w:id="194" w:name="_Toc214873622"/>
      <w:bookmarkStart w:id="195" w:name="_Toc317088166"/>
      <w:bookmarkStart w:id="196" w:name="_Toc317088555"/>
      <w:bookmarkStart w:id="197" w:name="_Toc530223198"/>
    </w:p>
    <w:p w:rsidR="000E520F" w:rsidRDefault="00D34D5D">
      <w:pPr>
        <w:pStyle w:val="11"/>
        <w:snapToGrid w:val="0"/>
        <w:spacing w:before="0" w:after="0" w:line="360" w:lineRule="auto"/>
        <w:ind w:firstLineChars="150" w:firstLine="422"/>
        <w:rPr>
          <w:rFonts w:ascii="Arial Unicode MS" w:eastAsia="宋体" w:hAnsi="Arial Unicode MS" w:cs="Arial"/>
          <w:b/>
          <w:bCs/>
          <w:sz w:val="28"/>
          <w:szCs w:val="28"/>
        </w:rPr>
      </w:pPr>
      <w:bookmarkStart w:id="198" w:name="_Toc47622434"/>
      <w:bookmarkStart w:id="199" w:name="_Toc429490298"/>
      <w:bookmarkStart w:id="200" w:name="_Toc47604326"/>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92"/>
      <w:bookmarkEnd w:id="193"/>
      <w:bookmarkEnd w:id="194"/>
      <w:bookmarkEnd w:id="195"/>
      <w:bookmarkEnd w:id="196"/>
      <w:bookmarkEnd w:id="197"/>
      <w:bookmarkEnd w:id="198"/>
      <w:bookmarkEnd w:id="199"/>
      <w:bookmarkEnd w:id="200"/>
    </w:p>
    <w:p w:rsidR="000E520F" w:rsidRDefault="000E520F">
      <w:pPr>
        <w:spacing w:line="360" w:lineRule="auto"/>
        <w:rPr>
          <w:rFonts w:ascii="Arial Unicode MS" w:hAnsi="Arial Unicode MS"/>
        </w:rPr>
      </w:pPr>
    </w:p>
    <w:p w:rsidR="000E520F" w:rsidRDefault="00D34D5D">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rsidR="000E520F" w:rsidRDefault="00D34D5D">
      <w:pPr>
        <w:widowControl/>
        <w:snapToGrid w:val="0"/>
        <w:spacing w:line="360" w:lineRule="auto"/>
        <w:ind w:firstLineChars="200" w:firstLine="420"/>
        <w:rPr>
          <w:rFonts w:ascii="Arial Unicode MS" w:hAnsi="Arial Unicode MS" w:cs="Arial"/>
          <w:kern w:val="0"/>
          <w:szCs w:val="21"/>
        </w:rPr>
        <w:sectPr w:rsidR="000E520F">
          <w:headerReference w:type="first" r:id="rId59"/>
          <w:footerReference w:type="first" r:id="rId60"/>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201" w:name="_Toc429490299"/>
      <w:bookmarkStart w:id="202" w:name="_Toc335232710"/>
      <w:bookmarkStart w:id="203" w:name="_Toc214873623"/>
      <w:bookmarkStart w:id="204" w:name="_Toc525454771"/>
      <w:bookmarkStart w:id="205" w:name="_Toc317088167"/>
      <w:bookmarkStart w:id="206" w:name="_Toc530223199"/>
      <w:bookmarkStart w:id="207" w:name="_Toc317088556"/>
      <w:bookmarkStart w:id="208" w:name="_Toc320887661"/>
    </w:p>
    <w:p w:rsidR="000E520F" w:rsidRDefault="00D34D5D" w:rsidP="004C5AEC">
      <w:pPr>
        <w:pStyle w:val="11"/>
        <w:snapToGrid w:val="0"/>
        <w:spacing w:before="0" w:after="0" w:line="360" w:lineRule="auto"/>
        <w:ind w:firstLineChars="150" w:firstLine="422"/>
        <w:rPr>
          <w:rFonts w:ascii="Arial Unicode MS" w:eastAsia="宋体" w:hAnsi="Arial Unicode MS" w:cs="Arial"/>
          <w:b/>
          <w:bCs/>
          <w:sz w:val="28"/>
          <w:szCs w:val="28"/>
        </w:rPr>
      </w:pPr>
      <w:bookmarkStart w:id="209" w:name="_Toc47604327"/>
      <w:bookmarkStart w:id="210" w:name="_Toc47622435"/>
      <w:bookmarkEnd w:id="190"/>
      <w:bookmarkEnd w:id="201"/>
      <w:bookmarkEnd w:id="202"/>
      <w:bookmarkEnd w:id="203"/>
      <w:bookmarkEnd w:id="204"/>
      <w:bookmarkEnd w:id="205"/>
      <w:bookmarkEnd w:id="206"/>
      <w:bookmarkEnd w:id="207"/>
      <w:bookmarkEnd w:id="208"/>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09"/>
      <w:bookmarkEnd w:id="210"/>
    </w:p>
    <w:p w:rsidR="000E520F" w:rsidRDefault="000E520F">
      <w:pPr>
        <w:spacing w:line="360" w:lineRule="auto"/>
        <w:rPr>
          <w:rFonts w:ascii="Arial Unicode MS" w:hAnsi="Arial Unicode MS"/>
        </w:rPr>
      </w:pP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博时港股通领先趋势混合型证券投资基金</w:t>
      </w:r>
      <w:r>
        <w:rPr>
          <w:rFonts w:ascii="Arial Unicode MS" w:hAnsi="Arial Unicode MS" w:cs="Arial" w:hint="eastAsia"/>
          <w:szCs w:val="21"/>
        </w:rPr>
        <w:t>募集</w:t>
      </w:r>
      <w:r>
        <w:rPr>
          <w:rFonts w:ascii="Arial Unicode MS" w:hAnsi="Arial Unicode MS" w:cs="Arial"/>
          <w:szCs w:val="21"/>
        </w:rPr>
        <w:t>的文件</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（二）《博时港股通领先趋势混合型证券投资基金基金合同》</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）《博时港股通领先趋势混合型证券投资基金托管协议》</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）关于申请募集博时港股通领先趋势混合型证券投资基金之法律意见</w:t>
      </w:r>
    </w:p>
    <w:p w:rsidR="000E520F" w:rsidRDefault="00D34D5D">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rsidR="000E520F" w:rsidRDefault="00D34D5D">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rsidR="000E520F" w:rsidRDefault="000E520F">
      <w:pPr>
        <w:spacing w:line="360" w:lineRule="auto"/>
        <w:ind w:right="525"/>
        <w:rPr>
          <w:rFonts w:ascii="Arial Unicode MS" w:hAnsi="Arial Unicode MS" w:cs="Arial"/>
          <w:b/>
          <w:szCs w:val="21"/>
        </w:rPr>
      </w:pPr>
    </w:p>
    <w:p w:rsidR="000E520F" w:rsidRDefault="000E520F">
      <w:pPr>
        <w:autoSpaceDE w:val="0"/>
        <w:autoSpaceDN w:val="0"/>
        <w:adjustRightInd w:val="0"/>
        <w:snapToGrid w:val="0"/>
        <w:spacing w:line="360" w:lineRule="auto"/>
        <w:ind w:firstLineChars="200" w:firstLine="420"/>
        <w:jc w:val="right"/>
        <w:rPr>
          <w:rFonts w:ascii="Arial Unicode MS" w:hAnsi="Arial Unicode MS" w:cs="Arial"/>
          <w:szCs w:val="21"/>
        </w:rPr>
      </w:pPr>
    </w:p>
    <w:p w:rsidR="000E520F" w:rsidRDefault="00D34D5D">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rsidR="000E520F" w:rsidRDefault="00D34D5D">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202</w:t>
      </w:r>
      <w:r w:rsidR="003D6C40">
        <w:rPr>
          <w:rFonts w:ascii="Arial Unicode MS" w:hAnsi="Arial Unicode MS" w:cs="Arial"/>
          <w:szCs w:val="21"/>
        </w:rPr>
        <w:t>1</w:t>
      </w:r>
      <w:r>
        <w:rPr>
          <w:rFonts w:ascii="Arial Unicode MS" w:hAnsi="Arial Unicode MS" w:cs="Arial" w:hint="eastAsia"/>
          <w:szCs w:val="21"/>
        </w:rPr>
        <w:t>年</w:t>
      </w:r>
      <w:r w:rsidR="003D6C40">
        <w:rPr>
          <w:rFonts w:ascii="Arial Unicode MS" w:hAnsi="Arial Unicode MS" w:cs="Arial" w:hint="eastAsia"/>
          <w:szCs w:val="21"/>
        </w:rPr>
        <w:t>1</w:t>
      </w:r>
      <w:r>
        <w:rPr>
          <w:rFonts w:ascii="Arial Unicode MS" w:hAnsi="Arial Unicode MS" w:cs="Arial" w:hint="eastAsia"/>
          <w:szCs w:val="21"/>
        </w:rPr>
        <w:t>月</w:t>
      </w:r>
      <w:r w:rsidR="003D6C40">
        <w:rPr>
          <w:rFonts w:ascii="Arial Unicode MS" w:hAnsi="Arial Unicode MS" w:cs="Arial" w:hint="eastAsia"/>
          <w:szCs w:val="21"/>
        </w:rPr>
        <w:t>6</w:t>
      </w:r>
      <w:r>
        <w:rPr>
          <w:rFonts w:ascii="Arial Unicode MS" w:hAnsi="Arial Unicode MS" w:cs="Arial" w:hint="eastAsia"/>
          <w:szCs w:val="21"/>
        </w:rPr>
        <w:t>日</w:t>
      </w:r>
    </w:p>
    <w:p w:rsidR="000E520F" w:rsidRDefault="000E520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0E520F">
      <w:headerReference w:type="first" r:id="rId61"/>
      <w:footerReference w:type="first" r:id="rId62"/>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D2" w:rsidRDefault="00CC55D2">
      <w:r>
        <w:separator/>
      </w:r>
    </w:p>
  </w:endnote>
  <w:endnote w:type="continuationSeparator" w:id="0">
    <w:p w:rsidR="00CC55D2" w:rsidRDefault="00CC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4-</w:t>
    </w:r>
    <w:r>
      <w:fldChar w:fldCharType="begin"/>
    </w:r>
    <w:r>
      <w:instrText>PAGE   \* MERGEFORMAT</w:instrText>
    </w:r>
    <w:r>
      <w:fldChar w:fldCharType="separate"/>
    </w:r>
    <w:r w:rsidR="003D6C40" w:rsidRPr="003D6C40">
      <w:rPr>
        <w:noProof/>
        <w:lang w:val="zh-CN"/>
      </w:rPr>
      <w:t>6</w:t>
    </w:r>
    <w:r>
      <w:fldChar w:fldCharType="end"/>
    </w:r>
  </w:p>
  <w:p w:rsidR="00AF5E4B" w:rsidRDefault="00AF5E4B">
    <w:pPr>
      <w:pStyle w:val="afa"/>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4-</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5-</w:t>
    </w:r>
    <w:r>
      <w:fldChar w:fldCharType="begin"/>
    </w:r>
    <w:r>
      <w:instrText>PAGE   \* MERGEFORMAT</w:instrText>
    </w:r>
    <w:r>
      <w:fldChar w:fldCharType="separate"/>
    </w:r>
    <w:r w:rsidR="003D6C40" w:rsidRPr="003D6C40">
      <w:rPr>
        <w:noProof/>
        <w:lang w:val="zh-CN"/>
      </w:rPr>
      <w:t>2</w:t>
    </w:r>
    <w:r>
      <w:fldChar w:fldCharType="end"/>
    </w:r>
  </w:p>
  <w:p w:rsidR="00AF5E4B" w:rsidRDefault="00AF5E4B">
    <w:pPr>
      <w:pStyle w:val="afa"/>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5-</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6-</w:t>
    </w:r>
    <w:r>
      <w:fldChar w:fldCharType="begin"/>
    </w:r>
    <w:r>
      <w:instrText>PAGE   \* MERGEFORMAT</w:instrText>
    </w:r>
    <w:r>
      <w:fldChar w:fldCharType="separate"/>
    </w:r>
    <w:r w:rsidR="003D6C40" w:rsidRPr="003D6C40">
      <w:rPr>
        <w:noProof/>
        <w:lang w:val="zh-CN"/>
      </w:rPr>
      <w:t>4</w:t>
    </w:r>
    <w:r>
      <w:fldChar w:fldCharType="end"/>
    </w:r>
  </w:p>
  <w:p w:rsidR="00AF5E4B" w:rsidRDefault="00AF5E4B">
    <w:pPr>
      <w:pStyle w:val="afa"/>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6-</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7-</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8-</w:t>
    </w:r>
    <w:r>
      <w:fldChar w:fldCharType="begin"/>
    </w:r>
    <w:r>
      <w:instrText>PAGE   \* MERGEFORMAT</w:instrText>
    </w:r>
    <w:r>
      <w:fldChar w:fldCharType="separate"/>
    </w:r>
    <w:r w:rsidR="003D6C40" w:rsidRPr="003D6C40">
      <w:rPr>
        <w:noProof/>
        <w:lang w:val="zh-CN"/>
      </w:rPr>
      <w:t>10</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8-</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9-</w:t>
    </w:r>
    <w:r>
      <w:fldChar w:fldCharType="begin"/>
    </w:r>
    <w:r>
      <w:instrText>PAGE   \* MERGEFORMAT</w:instrText>
    </w:r>
    <w:r>
      <w:fldChar w:fldCharType="separate"/>
    </w:r>
    <w:r w:rsidR="003D6C40" w:rsidRPr="003D6C40">
      <w:rPr>
        <w:noProof/>
        <w:lang w:val="zh-CN"/>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fldChar w:fldCharType="begin"/>
    </w:r>
    <w:r>
      <w:instrText xml:space="preserve"> PAGE   \* MERGEFORMAT </w:instrText>
    </w:r>
    <w:r>
      <w:fldChar w:fldCharType="separate"/>
    </w:r>
    <w:r w:rsidR="003D6C40" w:rsidRPr="003D6C40">
      <w:rPr>
        <w:noProof/>
        <w:lang w:val="zh-CN"/>
      </w:rPr>
      <w:t>4</w:t>
    </w:r>
    <w:r>
      <w:fldChar w:fldCharType="end"/>
    </w:r>
  </w:p>
  <w:p w:rsidR="00AF5E4B" w:rsidRDefault="00AF5E4B">
    <w:pPr>
      <w:pStyle w:val="afa"/>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9-</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10-</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11-</w:t>
    </w:r>
    <w:r>
      <w:fldChar w:fldCharType="begin"/>
    </w:r>
    <w:r>
      <w:instrText>PAGE   \* MERGEFORMAT</w:instrText>
    </w:r>
    <w:r>
      <w:fldChar w:fldCharType="separate"/>
    </w:r>
    <w:r w:rsidR="003D6C40" w:rsidRPr="003D6C40">
      <w:rPr>
        <w:noProof/>
        <w:lang w:val="zh-CN"/>
      </w:rPr>
      <w:t>6</w:t>
    </w:r>
    <w:r>
      <w:fldChar w:fldCharType="end"/>
    </w:r>
  </w:p>
  <w:p w:rsidR="00AF5E4B" w:rsidRDefault="00AF5E4B">
    <w:pPr>
      <w:pStyle w:val="afa"/>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12-</w:t>
    </w:r>
    <w:r>
      <w:fldChar w:fldCharType="begin"/>
    </w:r>
    <w:r>
      <w:instrText>PAGE   \* MERGEFORMAT</w:instrText>
    </w:r>
    <w:r>
      <w:fldChar w:fldCharType="separate"/>
    </w:r>
    <w:r w:rsidR="003D6C40" w:rsidRPr="003D6C40">
      <w:rPr>
        <w:noProof/>
        <w:lang w:val="zh-CN"/>
      </w:rPr>
      <w:t>2</w:t>
    </w:r>
    <w:r>
      <w:fldChar w:fldCharType="end"/>
    </w:r>
  </w:p>
  <w:p w:rsidR="00AF5E4B" w:rsidRDefault="00AF5E4B">
    <w:pPr>
      <w:pStyle w:val="afa"/>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12-</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13-</w:t>
    </w:r>
    <w:r>
      <w:fldChar w:fldCharType="begin"/>
    </w:r>
    <w:r>
      <w:instrText>PAGE   \* MERGEFORMAT</w:instrText>
    </w:r>
    <w:r>
      <w:fldChar w:fldCharType="separate"/>
    </w:r>
    <w:r w:rsidR="003D6C40" w:rsidRPr="003D6C40">
      <w:rPr>
        <w:noProof/>
        <w:lang w:val="zh-CN"/>
      </w:rPr>
      <w:t>3</w:t>
    </w:r>
    <w:r>
      <w:fldChar w:fldCharType="end"/>
    </w:r>
  </w:p>
  <w:p w:rsidR="00AF5E4B" w:rsidRDefault="00AF5E4B">
    <w:pPr>
      <w:pStyle w:val="afa"/>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13-</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14-</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15-</w:t>
    </w:r>
    <w:r>
      <w:fldChar w:fldCharType="begin"/>
    </w:r>
    <w:r>
      <w:instrText>PAGE   \* MERGEFORMAT</w:instrText>
    </w:r>
    <w:r>
      <w:fldChar w:fldCharType="separate"/>
    </w:r>
    <w:r w:rsidR="003D6C40" w:rsidRPr="003D6C40">
      <w:rPr>
        <w:noProof/>
        <w:lang w:val="zh-CN"/>
      </w:rPr>
      <w:t>7</w:t>
    </w:r>
    <w:r>
      <w:fldChar w:fldCharType="end"/>
    </w:r>
  </w:p>
  <w:p w:rsidR="00AF5E4B" w:rsidRDefault="00AF5E4B">
    <w:pPr>
      <w:pStyle w:val="afa"/>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16-</w:t>
    </w:r>
    <w:r>
      <w:fldChar w:fldCharType="begin"/>
    </w:r>
    <w:r>
      <w:instrText>PAGE   \* MERGEFORMAT</w:instrText>
    </w:r>
    <w:r>
      <w:fldChar w:fldCharType="separate"/>
    </w:r>
    <w:r w:rsidR="003D6C40" w:rsidRPr="003D6C40">
      <w:rPr>
        <w:noProof/>
        <w:lang w:val="zh-CN"/>
      </w:rPr>
      <w:t>2</w:t>
    </w:r>
    <w:r>
      <w:fldChar w:fldCharType="end"/>
    </w:r>
  </w:p>
  <w:p w:rsidR="00AF5E4B" w:rsidRDefault="00AF5E4B">
    <w:pPr>
      <w:pStyle w:val="af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17-1</w:t>
    </w:r>
  </w:p>
  <w:p w:rsidR="00AF5E4B" w:rsidRDefault="00AF5E4B">
    <w:pPr>
      <w:pStyle w:val="af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17-</w:t>
    </w:r>
    <w:r>
      <w:fldChar w:fldCharType="begin"/>
    </w:r>
    <w:r>
      <w:instrText>PAGE   \* MERGEFORMAT</w:instrText>
    </w:r>
    <w:r>
      <w:fldChar w:fldCharType="separate"/>
    </w:r>
    <w:r w:rsidR="003D6C40" w:rsidRPr="003D6C40">
      <w:rPr>
        <w:noProof/>
        <w:lang w:val="zh-CN"/>
      </w:rPr>
      <w:t>7</w:t>
    </w:r>
    <w:r>
      <w:fldChar w:fldCharType="end"/>
    </w:r>
  </w:p>
  <w:p w:rsidR="00AF5E4B" w:rsidRDefault="00AF5E4B">
    <w:pPr>
      <w:pStyle w:val="afa"/>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18-</w:t>
    </w:r>
    <w:r>
      <w:fldChar w:fldCharType="begin"/>
    </w:r>
    <w:r>
      <w:instrText>PAGE   \* MERGEFORMAT</w:instrText>
    </w:r>
    <w:r>
      <w:fldChar w:fldCharType="separate"/>
    </w:r>
    <w:r w:rsidR="003D6C40" w:rsidRPr="003D6C40">
      <w:rPr>
        <w:noProof/>
        <w:lang w:val="zh-CN"/>
      </w:rPr>
      <w:t>2</w:t>
    </w:r>
    <w:r>
      <w:fldChar w:fldCharType="end"/>
    </w:r>
  </w:p>
  <w:p w:rsidR="00AF5E4B" w:rsidRDefault="00AF5E4B">
    <w:pPr>
      <w:pStyle w:val="afa"/>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18-</w:t>
    </w:r>
    <w:r>
      <w:fldChar w:fldCharType="begin"/>
    </w:r>
    <w:r>
      <w:instrText>PAGE   \* MERGEFORMAT</w:instrText>
    </w:r>
    <w:r>
      <w:fldChar w:fldCharType="separate"/>
    </w:r>
    <w:r>
      <w:rPr>
        <w:lang w:val="zh-CN"/>
      </w:rPr>
      <w:t>1</w:t>
    </w:r>
    <w:r>
      <w:fldChar w:fldCharType="end"/>
    </w:r>
  </w:p>
  <w:p w:rsidR="00AF5E4B" w:rsidRDefault="00AF5E4B">
    <w:pPr>
      <w:pStyle w:val="afa"/>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19-</w:t>
    </w:r>
    <w:r>
      <w:fldChar w:fldCharType="begin"/>
    </w:r>
    <w:r>
      <w:instrText>PAGE   \* MERGEFORMAT</w:instrText>
    </w:r>
    <w:r>
      <w:fldChar w:fldCharType="separate"/>
    </w:r>
    <w:r w:rsidR="003D6C40" w:rsidRPr="003D6C40">
      <w:rPr>
        <w:noProof/>
        <w:lang w:val="zh-CN"/>
      </w:rPr>
      <w:t>16</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19-</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20-</w:t>
    </w:r>
    <w:r>
      <w:fldChar w:fldCharType="begin"/>
    </w:r>
    <w:r>
      <w:instrText>PAGE   \* MERGEFORMAT</w:instrText>
    </w:r>
    <w:r>
      <w:fldChar w:fldCharType="separate"/>
    </w:r>
    <w:r w:rsidR="003D6C40" w:rsidRPr="003D6C40">
      <w:rPr>
        <w:noProof/>
        <w:lang w:val="zh-CN"/>
      </w:rPr>
      <w:t>14</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20-</w:t>
    </w:r>
    <w:r>
      <w:fldChar w:fldCharType="begin"/>
    </w:r>
    <w:r>
      <w:instrText>PAGE   \* MERGEFORMAT</w:instrText>
    </w:r>
    <w:r>
      <w:fldChar w:fldCharType="separate"/>
    </w:r>
    <w:r w:rsidR="003D6C40" w:rsidRPr="003D6C40">
      <w:rPr>
        <w:noProof/>
        <w:lang w:val="zh-CN"/>
      </w:rPr>
      <w:t>1</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21-</w:t>
    </w:r>
    <w:r>
      <w:fldChar w:fldCharType="begin"/>
    </w:r>
    <w:r>
      <w:instrText>PAGE   \* MERGEFORMAT</w:instrText>
    </w:r>
    <w:r>
      <w:fldChar w:fldCharType="separate"/>
    </w:r>
    <w:r w:rsidR="003D6C40" w:rsidRPr="003D6C40">
      <w:rPr>
        <w:noProof/>
        <w:lang w:val="zh-CN"/>
      </w:rPr>
      <w:t>2</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21-</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fldChar w:fldCharType="begin"/>
    </w:r>
    <w:r>
      <w:instrText>PAGE   \* MERGEFORMAT</w:instrText>
    </w:r>
    <w:r>
      <w:fldChar w:fldCharType="separate"/>
    </w:r>
    <w:r>
      <w:rPr>
        <w:lang w:val="zh-CN"/>
      </w:rPr>
      <w:t>2</w:t>
    </w:r>
    <w:r>
      <w:fldChar w:fldCharType="end"/>
    </w:r>
  </w:p>
  <w:p w:rsidR="00AF5E4B" w:rsidRDefault="00AF5E4B">
    <w:pPr>
      <w:pStyle w:val="afa"/>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22-</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23-1</w:t>
    </w:r>
  </w:p>
  <w:p w:rsidR="00AF5E4B" w:rsidRDefault="00AF5E4B">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rPr>
        <w:rFonts w:ascii="Arial" w:hAnsi="Arial" w:cs="Arial"/>
        <w:sz w:val="21"/>
        <w:szCs w:val="21"/>
      </w:rPr>
    </w:pPr>
    <w:r>
      <w:rPr>
        <w:rFonts w:ascii="Arial" w:hAnsi="Arial" w:cs="Arial"/>
        <w:sz w:val="21"/>
        <w:szCs w:val="21"/>
      </w:rPr>
      <w:fldChar w:fldCharType="begin"/>
    </w:r>
    <w:r>
      <w:rPr>
        <w:rStyle w:val="aff5"/>
        <w:rFonts w:ascii="Arial" w:hAnsi="Arial" w:cs="Arial"/>
        <w:sz w:val="21"/>
        <w:szCs w:val="21"/>
      </w:rPr>
      <w:instrText xml:space="preserve"> PAGE </w:instrText>
    </w:r>
    <w:r>
      <w:rPr>
        <w:rFonts w:ascii="Arial" w:hAnsi="Arial" w:cs="Arial"/>
        <w:sz w:val="21"/>
        <w:szCs w:val="21"/>
      </w:rPr>
      <w:fldChar w:fldCharType="separate"/>
    </w:r>
    <w:r>
      <w:rPr>
        <w:rStyle w:val="aff5"/>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1-</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2-</w:t>
    </w:r>
    <w:r>
      <w:fldChar w:fldCharType="begin"/>
    </w:r>
    <w:r>
      <w:instrText>PAGE   \* MERGEFORMAT</w:instrText>
    </w:r>
    <w:r>
      <w:fldChar w:fldCharType="separate"/>
    </w:r>
    <w:r w:rsidR="003D6C40" w:rsidRPr="003D6C40">
      <w:rPr>
        <w:noProof/>
        <w:lang w:val="zh-CN"/>
      </w:rPr>
      <w:t>5</w:t>
    </w:r>
    <w:r>
      <w:fldChar w:fldCharType="end"/>
    </w:r>
  </w:p>
  <w:p w:rsidR="00AF5E4B" w:rsidRDefault="00AF5E4B">
    <w:pPr>
      <w:pStyle w:val="afa"/>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3-</w:t>
    </w:r>
    <w:r>
      <w:fldChar w:fldCharType="begin"/>
    </w:r>
    <w:r>
      <w:instrText>PAGE   \* MERGEFORMAT</w:instrText>
    </w:r>
    <w:r>
      <w:fldChar w:fldCharType="separate"/>
    </w:r>
    <w:r w:rsidR="003D6C40" w:rsidRPr="003D6C40">
      <w:rPr>
        <w:noProof/>
        <w:lang w:val="zh-CN"/>
      </w:rPr>
      <w:t>14</w:t>
    </w:r>
    <w:r>
      <w:fldChar w:fldCharType="end"/>
    </w:r>
  </w:p>
  <w:p w:rsidR="00AF5E4B" w:rsidRDefault="00AF5E4B">
    <w:pPr>
      <w:pStyle w:val="afa"/>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a"/>
      <w:jc w:val="center"/>
    </w:pPr>
    <w:r>
      <w:rPr>
        <w:rFonts w:hint="eastAsia"/>
      </w:rPr>
      <w:t>3-</w:t>
    </w:r>
    <w:r>
      <w:fldChar w:fldCharType="begin"/>
    </w:r>
    <w:r>
      <w:instrText>PAGE   \* MERGEFORMAT</w:instrText>
    </w:r>
    <w:r>
      <w:fldChar w:fldCharType="separate"/>
    </w:r>
    <w:r w:rsidR="003D6C40" w:rsidRPr="003D6C40">
      <w:rPr>
        <w:noProof/>
        <w:lang w:val="zh-CN"/>
      </w:rPr>
      <w:t>1</w:t>
    </w:r>
    <w:r>
      <w:fldChar w:fldCharType="end"/>
    </w:r>
  </w:p>
  <w:p w:rsidR="00AF5E4B" w:rsidRDefault="00AF5E4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D2" w:rsidRDefault="00CC55D2">
      <w:r>
        <w:separator/>
      </w:r>
    </w:p>
  </w:footnote>
  <w:footnote w:type="continuationSeparator" w:id="0">
    <w:p w:rsidR="00CC55D2" w:rsidRDefault="00CC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p w:rsidR="00AF5E4B" w:rsidRDefault="00AF5E4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p w:rsidR="00AF5E4B" w:rsidRDefault="00AF5E4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4B" w:rsidRDefault="00AF5E4B">
    <w:pPr>
      <w:pStyle w:val="afc"/>
    </w:pPr>
    <w:r>
      <w:rPr>
        <w:rFonts w:hint="eastAsia"/>
      </w:rPr>
      <w:t>招募说明书</w:t>
    </w:r>
  </w:p>
  <w:p w:rsidR="00AF5E4B" w:rsidRDefault="00AF5E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68F12A14"/>
    <w:multiLevelType w:val="multilevel"/>
    <w:tmpl w:val="68F12A1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34AA"/>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1294"/>
    <w:rsid w:val="000415C5"/>
    <w:rsid w:val="0004164A"/>
    <w:rsid w:val="00044F2F"/>
    <w:rsid w:val="00045EED"/>
    <w:rsid w:val="00047255"/>
    <w:rsid w:val="00047BCA"/>
    <w:rsid w:val="000503C7"/>
    <w:rsid w:val="00052565"/>
    <w:rsid w:val="00052F45"/>
    <w:rsid w:val="000534D8"/>
    <w:rsid w:val="0005360C"/>
    <w:rsid w:val="00053708"/>
    <w:rsid w:val="000548ED"/>
    <w:rsid w:val="00054A99"/>
    <w:rsid w:val="000557C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37F4"/>
    <w:rsid w:val="00084586"/>
    <w:rsid w:val="0008461E"/>
    <w:rsid w:val="00084B3F"/>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5DE4"/>
    <w:rsid w:val="000969A6"/>
    <w:rsid w:val="00097033"/>
    <w:rsid w:val="00097DFC"/>
    <w:rsid w:val="000A03D6"/>
    <w:rsid w:val="000A191A"/>
    <w:rsid w:val="000A19F0"/>
    <w:rsid w:val="000A317A"/>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B94"/>
    <w:rsid w:val="000B5BAA"/>
    <w:rsid w:val="000B5C33"/>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346"/>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0F"/>
    <w:rsid w:val="000E5258"/>
    <w:rsid w:val="000E579F"/>
    <w:rsid w:val="000E5C68"/>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203"/>
    <w:rsid w:val="001110D2"/>
    <w:rsid w:val="00111C83"/>
    <w:rsid w:val="001145B4"/>
    <w:rsid w:val="0011465C"/>
    <w:rsid w:val="0011593E"/>
    <w:rsid w:val="001159F7"/>
    <w:rsid w:val="00117D86"/>
    <w:rsid w:val="00122FDC"/>
    <w:rsid w:val="0012307E"/>
    <w:rsid w:val="001250EA"/>
    <w:rsid w:val="001260C6"/>
    <w:rsid w:val="001268C1"/>
    <w:rsid w:val="00127713"/>
    <w:rsid w:val="001278E3"/>
    <w:rsid w:val="00130867"/>
    <w:rsid w:val="00130A79"/>
    <w:rsid w:val="0013242A"/>
    <w:rsid w:val="00135CCE"/>
    <w:rsid w:val="00136201"/>
    <w:rsid w:val="00136938"/>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1E"/>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600"/>
    <w:rsid w:val="00181B55"/>
    <w:rsid w:val="00183E84"/>
    <w:rsid w:val="00184725"/>
    <w:rsid w:val="00185B77"/>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728B"/>
    <w:rsid w:val="001A7B23"/>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3964"/>
    <w:rsid w:val="001F6342"/>
    <w:rsid w:val="001F7E62"/>
    <w:rsid w:val="002009EC"/>
    <w:rsid w:val="00201D94"/>
    <w:rsid w:val="002020EF"/>
    <w:rsid w:val="00202F67"/>
    <w:rsid w:val="0020303B"/>
    <w:rsid w:val="00205287"/>
    <w:rsid w:val="002055BC"/>
    <w:rsid w:val="00205DE3"/>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23F"/>
    <w:rsid w:val="0023662A"/>
    <w:rsid w:val="0023686C"/>
    <w:rsid w:val="00237009"/>
    <w:rsid w:val="0023761E"/>
    <w:rsid w:val="002376B3"/>
    <w:rsid w:val="00240D4C"/>
    <w:rsid w:val="00241335"/>
    <w:rsid w:val="00243177"/>
    <w:rsid w:val="002431F2"/>
    <w:rsid w:val="0024471D"/>
    <w:rsid w:val="00244F7E"/>
    <w:rsid w:val="002453BC"/>
    <w:rsid w:val="0024541D"/>
    <w:rsid w:val="002463A3"/>
    <w:rsid w:val="00246E4F"/>
    <w:rsid w:val="002471E5"/>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3479"/>
    <w:rsid w:val="002634B8"/>
    <w:rsid w:val="00263FA1"/>
    <w:rsid w:val="002642F6"/>
    <w:rsid w:val="00264CE3"/>
    <w:rsid w:val="00265E3D"/>
    <w:rsid w:val="0026714D"/>
    <w:rsid w:val="00267198"/>
    <w:rsid w:val="0027033C"/>
    <w:rsid w:val="00270D80"/>
    <w:rsid w:val="0027250D"/>
    <w:rsid w:val="0027308C"/>
    <w:rsid w:val="0027331C"/>
    <w:rsid w:val="00273A26"/>
    <w:rsid w:val="0027449D"/>
    <w:rsid w:val="00274AE8"/>
    <w:rsid w:val="00274FE0"/>
    <w:rsid w:val="00276281"/>
    <w:rsid w:val="00276A4D"/>
    <w:rsid w:val="002773A8"/>
    <w:rsid w:val="0028018C"/>
    <w:rsid w:val="002801D0"/>
    <w:rsid w:val="002803F7"/>
    <w:rsid w:val="00281AF1"/>
    <w:rsid w:val="00281C03"/>
    <w:rsid w:val="00283202"/>
    <w:rsid w:val="00283CA8"/>
    <w:rsid w:val="00284369"/>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8B9"/>
    <w:rsid w:val="00297916"/>
    <w:rsid w:val="002A39A3"/>
    <w:rsid w:val="002A499E"/>
    <w:rsid w:val="002A4B1C"/>
    <w:rsid w:val="002A74C5"/>
    <w:rsid w:val="002A77BE"/>
    <w:rsid w:val="002B0290"/>
    <w:rsid w:val="002B0463"/>
    <w:rsid w:val="002B10E3"/>
    <w:rsid w:val="002B1DC1"/>
    <w:rsid w:val="002B258E"/>
    <w:rsid w:val="002B2937"/>
    <w:rsid w:val="002B2ABF"/>
    <w:rsid w:val="002B3E37"/>
    <w:rsid w:val="002B4D2F"/>
    <w:rsid w:val="002B6079"/>
    <w:rsid w:val="002B6C01"/>
    <w:rsid w:val="002B701F"/>
    <w:rsid w:val="002C0710"/>
    <w:rsid w:val="002C0B59"/>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6BA"/>
    <w:rsid w:val="002F5300"/>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0A2B"/>
    <w:rsid w:val="00351583"/>
    <w:rsid w:val="003516FD"/>
    <w:rsid w:val="003517E7"/>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5B6"/>
    <w:rsid w:val="003606BC"/>
    <w:rsid w:val="00360E8F"/>
    <w:rsid w:val="0036134A"/>
    <w:rsid w:val="00361BE5"/>
    <w:rsid w:val="00362599"/>
    <w:rsid w:val="0036280F"/>
    <w:rsid w:val="00364048"/>
    <w:rsid w:val="00364072"/>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B3F"/>
    <w:rsid w:val="00390C99"/>
    <w:rsid w:val="0039278F"/>
    <w:rsid w:val="00393140"/>
    <w:rsid w:val="00393F8E"/>
    <w:rsid w:val="003945A2"/>
    <w:rsid w:val="00394DBD"/>
    <w:rsid w:val="00395DCF"/>
    <w:rsid w:val="00396B8C"/>
    <w:rsid w:val="003A021B"/>
    <w:rsid w:val="003A27EF"/>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A91"/>
    <w:rsid w:val="003D470B"/>
    <w:rsid w:val="003D51D7"/>
    <w:rsid w:val="003D5B0A"/>
    <w:rsid w:val="003D6C40"/>
    <w:rsid w:val="003D7557"/>
    <w:rsid w:val="003D768C"/>
    <w:rsid w:val="003E0205"/>
    <w:rsid w:val="003E04C5"/>
    <w:rsid w:val="003E1676"/>
    <w:rsid w:val="003E1EDC"/>
    <w:rsid w:val="003E2B3D"/>
    <w:rsid w:val="003E3A93"/>
    <w:rsid w:val="003E6B9E"/>
    <w:rsid w:val="003F0B54"/>
    <w:rsid w:val="003F1444"/>
    <w:rsid w:val="003F19DE"/>
    <w:rsid w:val="003F1FB3"/>
    <w:rsid w:val="003F295C"/>
    <w:rsid w:val="003F2C51"/>
    <w:rsid w:val="003F6784"/>
    <w:rsid w:val="003F7B71"/>
    <w:rsid w:val="004003DF"/>
    <w:rsid w:val="00400851"/>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4CCC"/>
    <w:rsid w:val="00425A1E"/>
    <w:rsid w:val="00425B70"/>
    <w:rsid w:val="004265B1"/>
    <w:rsid w:val="00426B9C"/>
    <w:rsid w:val="0042716F"/>
    <w:rsid w:val="004304EC"/>
    <w:rsid w:val="004349B4"/>
    <w:rsid w:val="0043768C"/>
    <w:rsid w:val="004401FD"/>
    <w:rsid w:val="004409A2"/>
    <w:rsid w:val="00442720"/>
    <w:rsid w:val="00442C21"/>
    <w:rsid w:val="00443207"/>
    <w:rsid w:val="00443846"/>
    <w:rsid w:val="00443EF7"/>
    <w:rsid w:val="0044500B"/>
    <w:rsid w:val="00445CE6"/>
    <w:rsid w:val="004466AA"/>
    <w:rsid w:val="00446FFF"/>
    <w:rsid w:val="0044730D"/>
    <w:rsid w:val="004477E2"/>
    <w:rsid w:val="004508AF"/>
    <w:rsid w:val="00450D0A"/>
    <w:rsid w:val="00451899"/>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67B"/>
    <w:rsid w:val="00467E2A"/>
    <w:rsid w:val="00471FE8"/>
    <w:rsid w:val="0047400A"/>
    <w:rsid w:val="004750F2"/>
    <w:rsid w:val="0047654B"/>
    <w:rsid w:val="004772D0"/>
    <w:rsid w:val="00477523"/>
    <w:rsid w:val="00480515"/>
    <w:rsid w:val="0048438E"/>
    <w:rsid w:val="00484811"/>
    <w:rsid w:val="0048557A"/>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5482"/>
    <w:rsid w:val="00496C01"/>
    <w:rsid w:val="00497562"/>
    <w:rsid w:val="004978E1"/>
    <w:rsid w:val="004A00D0"/>
    <w:rsid w:val="004A37D9"/>
    <w:rsid w:val="004A3A25"/>
    <w:rsid w:val="004A4092"/>
    <w:rsid w:val="004A4EB2"/>
    <w:rsid w:val="004A5256"/>
    <w:rsid w:val="004A54E0"/>
    <w:rsid w:val="004A5C18"/>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5AEC"/>
    <w:rsid w:val="004C6474"/>
    <w:rsid w:val="004C70A4"/>
    <w:rsid w:val="004C70C9"/>
    <w:rsid w:val="004C71F7"/>
    <w:rsid w:val="004C7C8A"/>
    <w:rsid w:val="004D13E8"/>
    <w:rsid w:val="004D2073"/>
    <w:rsid w:val="004D236C"/>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6B99"/>
    <w:rsid w:val="005076D3"/>
    <w:rsid w:val="005078EF"/>
    <w:rsid w:val="0051007B"/>
    <w:rsid w:val="00511F3E"/>
    <w:rsid w:val="00512653"/>
    <w:rsid w:val="005132E7"/>
    <w:rsid w:val="0051350C"/>
    <w:rsid w:val="00513898"/>
    <w:rsid w:val="005145F0"/>
    <w:rsid w:val="00514626"/>
    <w:rsid w:val="00514EA6"/>
    <w:rsid w:val="00515F2D"/>
    <w:rsid w:val="00516AB6"/>
    <w:rsid w:val="00516F36"/>
    <w:rsid w:val="005177AA"/>
    <w:rsid w:val="00517897"/>
    <w:rsid w:val="00520B11"/>
    <w:rsid w:val="00521F9C"/>
    <w:rsid w:val="005228F9"/>
    <w:rsid w:val="00522BBC"/>
    <w:rsid w:val="0052367D"/>
    <w:rsid w:val="005247E4"/>
    <w:rsid w:val="00524BC0"/>
    <w:rsid w:val="00524BFF"/>
    <w:rsid w:val="005257F9"/>
    <w:rsid w:val="00525F31"/>
    <w:rsid w:val="005268DB"/>
    <w:rsid w:val="00527261"/>
    <w:rsid w:val="00530B0A"/>
    <w:rsid w:val="00530EE0"/>
    <w:rsid w:val="00530FC7"/>
    <w:rsid w:val="005315B1"/>
    <w:rsid w:val="00531FF7"/>
    <w:rsid w:val="00532E9B"/>
    <w:rsid w:val="00533450"/>
    <w:rsid w:val="00533C7B"/>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BB7"/>
    <w:rsid w:val="00584DBE"/>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7730"/>
    <w:rsid w:val="005C1052"/>
    <w:rsid w:val="005C1985"/>
    <w:rsid w:val="005C1DBD"/>
    <w:rsid w:val="005C2007"/>
    <w:rsid w:val="005C2A9A"/>
    <w:rsid w:val="005C2EF6"/>
    <w:rsid w:val="005C3F3E"/>
    <w:rsid w:val="005C45DA"/>
    <w:rsid w:val="005C4D83"/>
    <w:rsid w:val="005C5FEE"/>
    <w:rsid w:val="005C650A"/>
    <w:rsid w:val="005C6799"/>
    <w:rsid w:val="005C687C"/>
    <w:rsid w:val="005C72A9"/>
    <w:rsid w:val="005C7637"/>
    <w:rsid w:val="005D038D"/>
    <w:rsid w:val="005D1600"/>
    <w:rsid w:val="005D16C7"/>
    <w:rsid w:val="005D250A"/>
    <w:rsid w:val="005D2548"/>
    <w:rsid w:val="005D38AF"/>
    <w:rsid w:val="005D393E"/>
    <w:rsid w:val="005D5DDF"/>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3536"/>
    <w:rsid w:val="00603B8B"/>
    <w:rsid w:val="00605E68"/>
    <w:rsid w:val="00606467"/>
    <w:rsid w:val="00607056"/>
    <w:rsid w:val="00607964"/>
    <w:rsid w:val="00610125"/>
    <w:rsid w:val="00610687"/>
    <w:rsid w:val="00610841"/>
    <w:rsid w:val="00610FF4"/>
    <w:rsid w:val="006132A2"/>
    <w:rsid w:val="006135AA"/>
    <w:rsid w:val="00613600"/>
    <w:rsid w:val="00614BF2"/>
    <w:rsid w:val="006156A9"/>
    <w:rsid w:val="00615BE2"/>
    <w:rsid w:val="00616063"/>
    <w:rsid w:val="00616A50"/>
    <w:rsid w:val="00616E6A"/>
    <w:rsid w:val="006175BA"/>
    <w:rsid w:val="00617907"/>
    <w:rsid w:val="0062007F"/>
    <w:rsid w:val="00620FFC"/>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571"/>
    <w:rsid w:val="00686D94"/>
    <w:rsid w:val="00687C87"/>
    <w:rsid w:val="00687E87"/>
    <w:rsid w:val="006911BC"/>
    <w:rsid w:val="00692161"/>
    <w:rsid w:val="0069394C"/>
    <w:rsid w:val="00694F90"/>
    <w:rsid w:val="006954C0"/>
    <w:rsid w:val="00695754"/>
    <w:rsid w:val="0069694C"/>
    <w:rsid w:val="006A0F03"/>
    <w:rsid w:val="006A1737"/>
    <w:rsid w:val="006A2360"/>
    <w:rsid w:val="006A379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6C9"/>
    <w:rsid w:val="006C5CE1"/>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2B92"/>
    <w:rsid w:val="00723016"/>
    <w:rsid w:val="00723746"/>
    <w:rsid w:val="007238E9"/>
    <w:rsid w:val="007257EE"/>
    <w:rsid w:val="00725C4D"/>
    <w:rsid w:val="00726199"/>
    <w:rsid w:val="007268E7"/>
    <w:rsid w:val="00726C16"/>
    <w:rsid w:val="00731E71"/>
    <w:rsid w:val="00731F8C"/>
    <w:rsid w:val="00732199"/>
    <w:rsid w:val="00732D5D"/>
    <w:rsid w:val="007338F9"/>
    <w:rsid w:val="007347C0"/>
    <w:rsid w:val="007353D0"/>
    <w:rsid w:val="00735B15"/>
    <w:rsid w:val="00735E81"/>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740"/>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A7555"/>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27C2"/>
    <w:rsid w:val="007D3106"/>
    <w:rsid w:val="007D428C"/>
    <w:rsid w:val="007D613E"/>
    <w:rsid w:val="007D6C8C"/>
    <w:rsid w:val="007D6DF8"/>
    <w:rsid w:val="007D73DD"/>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3A46"/>
    <w:rsid w:val="00804D4D"/>
    <w:rsid w:val="00807548"/>
    <w:rsid w:val="00810AA3"/>
    <w:rsid w:val="00810B36"/>
    <w:rsid w:val="008111E8"/>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51B99"/>
    <w:rsid w:val="0085475A"/>
    <w:rsid w:val="00854767"/>
    <w:rsid w:val="008569CF"/>
    <w:rsid w:val="00857A66"/>
    <w:rsid w:val="00857B6B"/>
    <w:rsid w:val="00860CD8"/>
    <w:rsid w:val="0086113B"/>
    <w:rsid w:val="00863E7D"/>
    <w:rsid w:val="0086423A"/>
    <w:rsid w:val="0086761C"/>
    <w:rsid w:val="008679A0"/>
    <w:rsid w:val="00870382"/>
    <w:rsid w:val="008706A5"/>
    <w:rsid w:val="00874B94"/>
    <w:rsid w:val="00874E7F"/>
    <w:rsid w:val="00876506"/>
    <w:rsid w:val="00876B28"/>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2982"/>
    <w:rsid w:val="008B347C"/>
    <w:rsid w:val="008B4208"/>
    <w:rsid w:val="008B4BC1"/>
    <w:rsid w:val="008B577A"/>
    <w:rsid w:val="008B5BFD"/>
    <w:rsid w:val="008B70BF"/>
    <w:rsid w:val="008B73BA"/>
    <w:rsid w:val="008B7A0D"/>
    <w:rsid w:val="008C0F5A"/>
    <w:rsid w:val="008C10F1"/>
    <w:rsid w:val="008C1B18"/>
    <w:rsid w:val="008C2B26"/>
    <w:rsid w:val="008C34A8"/>
    <w:rsid w:val="008C35BF"/>
    <w:rsid w:val="008C3670"/>
    <w:rsid w:val="008C43A4"/>
    <w:rsid w:val="008C58CD"/>
    <w:rsid w:val="008C5CA6"/>
    <w:rsid w:val="008C6195"/>
    <w:rsid w:val="008C7734"/>
    <w:rsid w:val="008C7E38"/>
    <w:rsid w:val="008D04AA"/>
    <w:rsid w:val="008D0A33"/>
    <w:rsid w:val="008D171B"/>
    <w:rsid w:val="008D2C5F"/>
    <w:rsid w:val="008D3435"/>
    <w:rsid w:val="008D5931"/>
    <w:rsid w:val="008D5A53"/>
    <w:rsid w:val="008D5B0A"/>
    <w:rsid w:val="008D6820"/>
    <w:rsid w:val="008E0796"/>
    <w:rsid w:val="008E491E"/>
    <w:rsid w:val="008E501E"/>
    <w:rsid w:val="008E5197"/>
    <w:rsid w:val="008E527A"/>
    <w:rsid w:val="008E6FC7"/>
    <w:rsid w:val="008F06F3"/>
    <w:rsid w:val="008F1BD4"/>
    <w:rsid w:val="008F25C3"/>
    <w:rsid w:val="008F4842"/>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1EA"/>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1A28"/>
    <w:rsid w:val="009424CF"/>
    <w:rsid w:val="00944CD1"/>
    <w:rsid w:val="00945C4C"/>
    <w:rsid w:val="009464F5"/>
    <w:rsid w:val="009465EB"/>
    <w:rsid w:val="0094663D"/>
    <w:rsid w:val="009509F3"/>
    <w:rsid w:val="0095231D"/>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425"/>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0FC"/>
    <w:rsid w:val="009B4DD5"/>
    <w:rsid w:val="009B55A5"/>
    <w:rsid w:val="009B6020"/>
    <w:rsid w:val="009B64BF"/>
    <w:rsid w:val="009C25E4"/>
    <w:rsid w:val="009C2DF6"/>
    <w:rsid w:val="009C514B"/>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52BF"/>
    <w:rsid w:val="009E643E"/>
    <w:rsid w:val="009E64D1"/>
    <w:rsid w:val="009E7630"/>
    <w:rsid w:val="009E76D7"/>
    <w:rsid w:val="009E7A7D"/>
    <w:rsid w:val="009F033C"/>
    <w:rsid w:val="009F17D3"/>
    <w:rsid w:val="009F1C87"/>
    <w:rsid w:val="009F1DA1"/>
    <w:rsid w:val="009F2CF6"/>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896"/>
    <w:rsid w:val="00A148A9"/>
    <w:rsid w:val="00A15735"/>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147C"/>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0B42"/>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2963"/>
    <w:rsid w:val="00AD38AD"/>
    <w:rsid w:val="00AD4422"/>
    <w:rsid w:val="00AD4A5A"/>
    <w:rsid w:val="00AD4FCE"/>
    <w:rsid w:val="00AD506A"/>
    <w:rsid w:val="00AD5507"/>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5E4B"/>
    <w:rsid w:val="00AF7103"/>
    <w:rsid w:val="00B0095E"/>
    <w:rsid w:val="00B00F02"/>
    <w:rsid w:val="00B00F36"/>
    <w:rsid w:val="00B01314"/>
    <w:rsid w:val="00B01B2C"/>
    <w:rsid w:val="00B02B78"/>
    <w:rsid w:val="00B04945"/>
    <w:rsid w:val="00B04F3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4F5"/>
    <w:rsid w:val="00B30811"/>
    <w:rsid w:val="00B3158F"/>
    <w:rsid w:val="00B322E4"/>
    <w:rsid w:val="00B324ED"/>
    <w:rsid w:val="00B33825"/>
    <w:rsid w:val="00B349B4"/>
    <w:rsid w:val="00B35885"/>
    <w:rsid w:val="00B35B70"/>
    <w:rsid w:val="00B364D1"/>
    <w:rsid w:val="00B36DE3"/>
    <w:rsid w:val="00B3792D"/>
    <w:rsid w:val="00B37F47"/>
    <w:rsid w:val="00B4050E"/>
    <w:rsid w:val="00B40C6F"/>
    <w:rsid w:val="00B41573"/>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3A1E"/>
    <w:rsid w:val="00B6477D"/>
    <w:rsid w:val="00B65BFB"/>
    <w:rsid w:val="00B65D19"/>
    <w:rsid w:val="00B65FF2"/>
    <w:rsid w:val="00B66393"/>
    <w:rsid w:val="00B66736"/>
    <w:rsid w:val="00B66B39"/>
    <w:rsid w:val="00B703C3"/>
    <w:rsid w:val="00B70609"/>
    <w:rsid w:val="00B71203"/>
    <w:rsid w:val="00B72EE6"/>
    <w:rsid w:val="00B7424B"/>
    <w:rsid w:val="00B754FE"/>
    <w:rsid w:val="00B75D28"/>
    <w:rsid w:val="00B77FAA"/>
    <w:rsid w:val="00B81DE3"/>
    <w:rsid w:val="00B8233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2809"/>
    <w:rsid w:val="00BB31F9"/>
    <w:rsid w:val="00BB3D1F"/>
    <w:rsid w:val="00BB48BB"/>
    <w:rsid w:val="00BB652D"/>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9EF"/>
    <w:rsid w:val="00BD1E1F"/>
    <w:rsid w:val="00BD2542"/>
    <w:rsid w:val="00BD25E2"/>
    <w:rsid w:val="00BD2E94"/>
    <w:rsid w:val="00BD40AB"/>
    <w:rsid w:val="00BD5481"/>
    <w:rsid w:val="00BD597E"/>
    <w:rsid w:val="00BD773C"/>
    <w:rsid w:val="00BE03ED"/>
    <w:rsid w:val="00BE13DA"/>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17E3A"/>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3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7783D"/>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3898"/>
    <w:rsid w:val="00CB3D67"/>
    <w:rsid w:val="00CB41B3"/>
    <w:rsid w:val="00CB5B97"/>
    <w:rsid w:val="00CB5C19"/>
    <w:rsid w:val="00CB61C0"/>
    <w:rsid w:val="00CB63A2"/>
    <w:rsid w:val="00CB6B0D"/>
    <w:rsid w:val="00CC0ADB"/>
    <w:rsid w:val="00CC0E40"/>
    <w:rsid w:val="00CC3FAA"/>
    <w:rsid w:val="00CC4B65"/>
    <w:rsid w:val="00CC5122"/>
    <w:rsid w:val="00CC55D2"/>
    <w:rsid w:val="00CC6072"/>
    <w:rsid w:val="00CC6A2E"/>
    <w:rsid w:val="00CC7090"/>
    <w:rsid w:val="00CC7543"/>
    <w:rsid w:val="00CC7A60"/>
    <w:rsid w:val="00CD1C48"/>
    <w:rsid w:val="00CD2489"/>
    <w:rsid w:val="00CD3262"/>
    <w:rsid w:val="00CD3CF1"/>
    <w:rsid w:val="00CD502C"/>
    <w:rsid w:val="00CD5483"/>
    <w:rsid w:val="00CD57B9"/>
    <w:rsid w:val="00CD599F"/>
    <w:rsid w:val="00CD5C31"/>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D0009F"/>
    <w:rsid w:val="00D01ADB"/>
    <w:rsid w:val="00D024AE"/>
    <w:rsid w:val="00D0290E"/>
    <w:rsid w:val="00D02918"/>
    <w:rsid w:val="00D030CB"/>
    <w:rsid w:val="00D031BE"/>
    <w:rsid w:val="00D03AA1"/>
    <w:rsid w:val="00D04FE7"/>
    <w:rsid w:val="00D07C90"/>
    <w:rsid w:val="00D11318"/>
    <w:rsid w:val="00D122BA"/>
    <w:rsid w:val="00D14CDB"/>
    <w:rsid w:val="00D14D84"/>
    <w:rsid w:val="00D171AD"/>
    <w:rsid w:val="00D174E1"/>
    <w:rsid w:val="00D21798"/>
    <w:rsid w:val="00D22537"/>
    <w:rsid w:val="00D225A4"/>
    <w:rsid w:val="00D2328D"/>
    <w:rsid w:val="00D24430"/>
    <w:rsid w:val="00D25264"/>
    <w:rsid w:val="00D2586A"/>
    <w:rsid w:val="00D26DE9"/>
    <w:rsid w:val="00D26DFE"/>
    <w:rsid w:val="00D27A2F"/>
    <w:rsid w:val="00D3023A"/>
    <w:rsid w:val="00D315B3"/>
    <w:rsid w:val="00D327CD"/>
    <w:rsid w:val="00D34D5D"/>
    <w:rsid w:val="00D34E12"/>
    <w:rsid w:val="00D36761"/>
    <w:rsid w:val="00D36916"/>
    <w:rsid w:val="00D36BB7"/>
    <w:rsid w:val="00D36BC7"/>
    <w:rsid w:val="00D36CE2"/>
    <w:rsid w:val="00D379D2"/>
    <w:rsid w:val="00D401A7"/>
    <w:rsid w:val="00D41D8C"/>
    <w:rsid w:val="00D42478"/>
    <w:rsid w:val="00D456D2"/>
    <w:rsid w:val="00D459B2"/>
    <w:rsid w:val="00D45B90"/>
    <w:rsid w:val="00D47147"/>
    <w:rsid w:val="00D47BDC"/>
    <w:rsid w:val="00D51585"/>
    <w:rsid w:val="00D5268C"/>
    <w:rsid w:val="00D54331"/>
    <w:rsid w:val="00D55208"/>
    <w:rsid w:val="00D55448"/>
    <w:rsid w:val="00D564B1"/>
    <w:rsid w:val="00D5752B"/>
    <w:rsid w:val="00D57620"/>
    <w:rsid w:val="00D612BD"/>
    <w:rsid w:val="00D61951"/>
    <w:rsid w:val="00D61F02"/>
    <w:rsid w:val="00D620F8"/>
    <w:rsid w:val="00D63D1E"/>
    <w:rsid w:val="00D65646"/>
    <w:rsid w:val="00D66EF7"/>
    <w:rsid w:val="00D67AA1"/>
    <w:rsid w:val="00D67D85"/>
    <w:rsid w:val="00D717DA"/>
    <w:rsid w:val="00D71F48"/>
    <w:rsid w:val="00D72AD3"/>
    <w:rsid w:val="00D72DE1"/>
    <w:rsid w:val="00D73A1F"/>
    <w:rsid w:val="00D74FE2"/>
    <w:rsid w:val="00D764F8"/>
    <w:rsid w:val="00D77561"/>
    <w:rsid w:val="00D81166"/>
    <w:rsid w:val="00D81642"/>
    <w:rsid w:val="00D82570"/>
    <w:rsid w:val="00D82C80"/>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1BCB"/>
    <w:rsid w:val="00E4224E"/>
    <w:rsid w:val="00E427F5"/>
    <w:rsid w:val="00E42B4B"/>
    <w:rsid w:val="00E44076"/>
    <w:rsid w:val="00E4469B"/>
    <w:rsid w:val="00E4472E"/>
    <w:rsid w:val="00E448E5"/>
    <w:rsid w:val="00E44B0A"/>
    <w:rsid w:val="00E462A9"/>
    <w:rsid w:val="00E464AC"/>
    <w:rsid w:val="00E46C30"/>
    <w:rsid w:val="00E4787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68D"/>
    <w:rsid w:val="00E73D5E"/>
    <w:rsid w:val="00E73DAE"/>
    <w:rsid w:val="00E74834"/>
    <w:rsid w:val="00E76497"/>
    <w:rsid w:val="00E779C6"/>
    <w:rsid w:val="00E77C1F"/>
    <w:rsid w:val="00E77C27"/>
    <w:rsid w:val="00E81198"/>
    <w:rsid w:val="00E81247"/>
    <w:rsid w:val="00E832D6"/>
    <w:rsid w:val="00E83FA9"/>
    <w:rsid w:val="00E84C73"/>
    <w:rsid w:val="00E84F0B"/>
    <w:rsid w:val="00E850BE"/>
    <w:rsid w:val="00E91A1B"/>
    <w:rsid w:val="00E91A2B"/>
    <w:rsid w:val="00E931C0"/>
    <w:rsid w:val="00E955C6"/>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2C78"/>
    <w:rsid w:val="00EB3170"/>
    <w:rsid w:val="00EB3807"/>
    <w:rsid w:val="00EB5DC8"/>
    <w:rsid w:val="00EB6CDB"/>
    <w:rsid w:val="00EB6EA4"/>
    <w:rsid w:val="00EB76EB"/>
    <w:rsid w:val="00EB7EC8"/>
    <w:rsid w:val="00EC0258"/>
    <w:rsid w:val="00EC07B8"/>
    <w:rsid w:val="00EC2696"/>
    <w:rsid w:val="00EC3CA1"/>
    <w:rsid w:val="00EC7491"/>
    <w:rsid w:val="00ED0F59"/>
    <w:rsid w:val="00ED1E97"/>
    <w:rsid w:val="00ED2F46"/>
    <w:rsid w:val="00ED353C"/>
    <w:rsid w:val="00ED49A9"/>
    <w:rsid w:val="00ED4C46"/>
    <w:rsid w:val="00ED5056"/>
    <w:rsid w:val="00ED758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32B7"/>
    <w:rsid w:val="00F13FE2"/>
    <w:rsid w:val="00F14F5A"/>
    <w:rsid w:val="00F15A9A"/>
    <w:rsid w:val="00F167C2"/>
    <w:rsid w:val="00F16B90"/>
    <w:rsid w:val="00F17836"/>
    <w:rsid w:val="00F17A9E"/>
    <w:rsid w:val="00F17CDF"/>
    <w:rsid w:val="00F207CB"/>
    <w:rsid w:val="00F21470"/>
    <w:rsid w:val="00F21CC2"/>
    <w:rsid w:val="00F22059"/>
    <w:rsid w:val="00F241E3"/>
    <w:rsid w:val="00F25AF0"/>
    <w:rsid w:val="00F25B42"/>
    <w:rsid w:val="00F26096"/>
    <w:rsid w:val="00F26C1C"/>
    <w:rsid w:val="00F27219"/>
    <w:rsid w:val="00F2731D"/>
    <w:rsid w:val="00F30628"/>
    <w:rsid w:val="00F311DE"/>
    <w:rsid w:val="00F32B8A"/>
    <w:rsid w:val="00F32C94"/>
    <w:rsid w:val="00F32D2C"/>
    <w:rsid w:val="00F3358E"/>
    <w:rsid w:val="00F356D1"/>
    <w:rsid w:val="00F3645C"/>
    <w:rsid w:val="00F36748"/>
    <w:rsid w:val="00F36B96"/>
    <w:rsid w:val="00F37075"/>
    <w:rsid w:val="00F40E0F"/>
    <w:rsid w:val="00F41774"/>
    <w:rsid w:val="00F41DFF"/>
    <w:rsid w:val="00F42615"/>
    <w:rsid w:val="00F42E31"/>
    <w:rsid w:val="00F432C6"/>
    <w:rsid w:val="00F43BE9"/>
    <w:rsid w:val="00F44663"/>
    <w:rsid w:val="00F449CD"/>
    <w:rsid w:val="00F45171"/>
    <w:rsid w:val="00F46FF0"/>
    <w:rsid w:val="00F472D5"/>
    <w:rsid w:val="00F474C6"/>
    <w:rsid w:val="00F527CD"/>
    <w:rsid w:val="00F52FB4"/>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3C00"/>
    <w:rsid w:val="00F84CF3"/>
    <w:rsid w:val="00F85A36"/>
    <w:rsid w:val="00F87796"/>
    <w:rsid w:val="00F87D43"/>
    <w:rsid w:val="00F87F4B"/>
    <w:rsid w:val="00F87F74"/>
    <w:rsid w:val="00F87FE7"/>
    <w:rsid w:val="00F906CF"/>
    <w:rsid w:val="00F91112"/>
    <w:rsid w:val="00F91271"/>
    <w:rsid w:val="00F9160B"/>
    <w:rsid w:val="00F930D0"/>
    <w:rsid w:val="00F93814"/>
    <w:rsid w:val="00F95ADB"/>
    <w:rsid w:val="00F95AEB"/>
    <w:rsid w:val="00F96D3A"/>
    <w:rsid w:val="00F97985"/>
    <w:rsid w:val="00FA0B19"/>
    <w:rsid w:val="00FA169A"/>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4323"/>
    <w:rsid w:val="00FC4C78"/>
    <w:rsid w:val="00FC63A0"/>
    <w:rsid w:val="00FC6855"/>
    <w:rsid w:val="00FC709B"/>
    <w:rsid w:val="00FC712F"/>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1915602F"/>
    <w:rsid w:val="1BE165BE"/>
    <w:rsid w:val="23745AEA"/>
    <w:rsid w:val="298158FD"/>
    <w:rsid w:val="46EB38DF"/>
    <w:rsid w:val="48E604C4"/>
    <w:rsid w:val="50222DDE"/>
    <w:rsid w:val="574973D7"/>
    <w:rsid w:val="5FEE1389"/>
    <w:rsid w:val="6AD549F7"/>
    <w:rsid w:val="7211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5101"/>
  <w15:docId w15:val="{9CC8291C-39BC-4B6F-A622-0259625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Calibri"/>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Pr>
      <w:b/>
      <w:bCs/>
    </w:rPr>
  </w:style>
  <w:style w:type="paragraph" w:styleId="a5">
    <w:name w:val="annotation text"/>
    <w:basedOn w:val="a0"/>
    <w:link w:val="13"/>
    <w:qFormat/>
    <w:pPr>
      <w:jc w:val="left"/>
    </w:pPr>
    <w:rPr>
      <w:kern w:val="0"/>
      <w:sz w:val="20"/>
    </w:rPr>
  </w:style>
  <w:style w:type="paragraph" w:styleId="71">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7">
    <w:name w:val="Body Text First Indent"/>
    <w:basedOn w:val="a8"/>
    <w:link w:val="a9"/>
    <w:qFormat/>
    <w:pPr>
      <w:spacing w:after="120"/>
      <w:ind w:firstLineChars="100" w:firstLine="420"/>
    </w:pPr>
    <w:rPr>
      <w:rFonts w:ascii="Times New Roman" w:hAnsi="Times New Roman"/>
      <w:szCs w:val="24"/>
    </w:rPr>
  </w:style>
  <w:style w:type="paragraph" w:styleId="a8">
    <w:name w:val="Body Text"/>
    <w:basedOn w:val="a0"/>
    <w:link w:val="aa"/>
    <w:qFormat/>
    <w:rPr>
      <w:rFonts w:ascii="宋体" w:hAnsi="宋体"/>
      <w:kern w:val="0"/>
      <w:sz w:val="24"/>
      <w:szCs w:val="21"/>
    </w:rPr>
  </w:style>
  <w:style w:type="paragraph" w:styleId="ab">
    <w:name w:val="Normal Indent"/>
    <w:basedOn w:val="a0"/>
    <w:qFormat/>
    <w:pPr>
      <w:ind w:firstLine="420"/>
    </w:pPr>
    <w:rPr>
      <w:szCs w:val="20"/>
    </w:rPr>
  </w:style>
  <w:style w:type="paragraph" w:styleId="ac">
    <w:name w:val="caption"/>
    <w:basedOn w:val="a0"/>
    <w:next w:val="a0"/>
    <w:qFormat/>
    <w:pPr>
      <w:spacing w:line="360" w:lineRule="auto"/>
      <w:ind w:firstLineChars="200" w:firstLine="200"/>
    </w:pPr>
    <w:rPr>
      <w:rFonts w:ascii="Cambria" w:eastAsia="黑体" w:hAnsi="Cambria"/>
      <w:sz w:val="20"/>
      <w:szCs w:val="20"/>
    </w:rPr>
  </w:style>
  <w:style w:type="paragraph" w:styleId="ad">
    <w:name w:val="List Bullet"/>
    <w:basedOn w:val="a0"/>
    <w:qFormat/>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e">
    <w:name w:val="Document Map"/>
    <w:basedOn w:val="a0"/>
    <w:link w:val="af"/>
    <w:qFormat/>
    <w:pPr>
      <w:shd w:val="clear" w:color="auto" w:fill="000080"/>
      <w:spacing w:after="120" w:line="360" w:lineRule="auto"/>
      <w:ind w:firstLine="480"/>
    </w:pPr>
    <w:rPr>
      <w:rFonts w:ascii="宋体" w:hAnsi="宋体"/>
      <w:bCs/>
      <w:color w:val="000000"/>
      <w:kern w:val="0"/>
      <w:sz w:val="20"/>
      <w:szCs w:val="21"/>
      <w:lang w:val="zh-CN"/>
    </w:rPr>
  </w:style>
  <w:style w:type="paragraph" w:styleId="af0">
    <w:name w:val="Body Text Indent"/>
    <w:basedOn w:val="a0"/>
    <w:link w:val="af1"/>
    <w:qFormat/>
    <w:pPr>
      <w:ind w:firstLine="540"/>
    </w:pPr>
    <w:rPr>
      <w:kern w:val="0"/>
      <w:sz w:val="24"/>
      <w:szCs w:val="20"/>
    </w:rPr>
  </w:style>
  <w:style w:type="paragraph" w:styleId="51">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31">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f2">
    <w:name w:val="Plain Text"/>
    <w:basedOn w:val="a0"/>
    <w:link w:val="af3"/>
    <w:qFormat/>
    <w:pPr>
      <w:widowControl/>
      <w:spacing w:before="100" w:beforeAutospacing="1" w:after="100" w:afterAutospacing="1"/>
      <w:jc w:val="left"/>
    </w:pPr>
    <w:rPr>
      <w:rFonts w:ascii="Arial Unicode MS" w:eastAsia="Arial Unicode MS" w:hAnsi="Arial Unicode MS"/>
      <w:kern w:val="0"/>
      <w:sz w:val="24"/>
    </w:rPr>
  </w:style>
  <w:style w:type="paragraph" w:styleId="81">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f4">
    <w:name w:val="Date"/>
    <w:basedOn w:val="a0"/>
    <w:next w:val="a0"/>
    <w:link w:val="af5"/>
    <w:qFormat/>
    <w:pPr>
      <w:ind w:leftChars="2500" w:left="100"/>
    </w:pPr>
    <w:rPr>
      <w:rFonts w:ascii="宋体" w:hAnsi="宋体"/>
      <w:kern w:val="0"/>
      <w:sz w:val="24"/>
      <w:szCs w:val="21"/>
    </w:rPr>
  </w:style>
  <w:style w:type="paragraph" w:styleId="22">
    <w:name w:val="Body Text Indent 2"/>
    <w:basedOn w:val="a0"/>
    <w:link w:val="23"/>
    <w:qFormat/>
    <w:pPr>
      <w:tabs>
        <w:tab w:val="left" w:pos="1110"/>
      </w:tabs>
      <w:spacing w:line="360" w:lineRule="auto"/>
      <w:ind w:firstLineChars="200" w:firstLine="420"/>
    </w:pPr>
    <w:rPr>
      <w:rFonts w:ascii="宋体" w:hAnsi="宋体"/>
      <w:color w:val="FF0000"/>
      <w:kern w:val="0"/>
      <w:sz w:val="20"/>
    </w:rPr>
  </w:style>
  <w:style w:type="paragraph" w:styleId="af6">
    <w:name w:val="endnote text"/>
    <w:basedOn w:val="a0"/>
    <w:link w:val="af7"/>
    <w:qFormat/>
    <w:pPr>
      <w:snapToGrid w:val="0"/>
      <w:jc w:val="left"/>
    </w:pPr>
    <w:rPr>
      <w:kern w:val="0"/>
      <w:sz w:val="20"/>
      <w:szCs w:val="20"/>
    </w:rPr>
  </w:style>
  <w:style w:type="paragraph" w:styleId="af8">
    <w:name w:val="Balloon Text"/>
    <w:basedOn w:val="a0"/>
    <w:link w:val="af9"/>
    <w:semiHidden/>
    <w:qFormat/>
    <w:rPr>
      <w:kern w:val="0"/>
      <w:sz w:val="18"/>
      <w:szCs w:val="18"/>
    </w:rPr>
  </w:style>
  <w:style w:type="paragraph" w:styleId="afa">
    <w:name w:val="footer"/>
    <w:basedOn w:val="a0"/>
    <w:link w:val="afb"/>
    <w:uiPriority w:val="99"/>
    <w:qFormat/>
    <w:pPr>
      <w:tabs>
        <w:tab w:val="center" w:pos="4153"/>
        <w:tab w:val="right" w:pos="8306"/>
      </w:tabs>
      <w:snapToGrid w:val="0"/>
      <w:jc w:val="left"/>
    </w:pPr>
    <w:rPr>
      <w:kern w:val="0"/>
      <w:sz w:val="18"/>
      <w:szCs w:val="18"/>
    </w:rPr>
  </w:style>
  <w:style w:type="paragraph" w:styleId="afc">
    <w:name w:val="header"/>
    <w:basedOn w:val="a0"/>
    <w:link w:val="afd"/>
    <w:uiPriority w:val="99"/>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0"/>
    <w:next w:val="a0"/>
    <w:uiPriority w:val="39"/>
    <w:qFormat/>
    <w:pPr>
      <w:tabs>
        <w:tab w:val="right" w:leader="dot" w:pos="8295"/>
      </w:tabs>
      <w:snapToGrid w:val="0"/>
      <w:spacing w:line="360" w:lineRule="auto"/>
    </w:pPr>
    <w:rPr>
      <w:rFonts w:ascii="宋体" w:hAnsi="宋体"/>
      <w:caps/>
      <w:sz w:val="24"/>
    </w:rPr>
  </w:style>
  <w:style w:type="paragraph" w:styleId="41">
    <w:name w:val="toc 4"/>
    <w:basedOn w:val="a0"/>
    <w:next w:val="a0"/>
    <w:qFormat/>
    <w:pPr>
      <w:spacing w:after="120" w:line="360" w:lineRule="auto"/>
      <w:ind w:left="1260" w:firstLine="480"/>
    </w:pPr>
    <w:rPr>
      <w:rFonts w:ascii="宋体" w:hAnsi="宋体" w:cs="Arial"/>
      <w:bCs/>
      <w:color w:val="000000"/>
      <w:kern w:val="0"/>
      <w:szCs w:val="21"/>
      <w:lang w:val="zh-CN"/>
    </w:rPr>
  </w:style>
  <w:style w:type="paragraph" w:styleId="afe">
    <w:name w:val="footnote text"/>
    <w:basedOn w:val="a0"/>
    <w:link w:val="aff"/>
    <w:qFormat/>
    <w:pPr>
      <w:snapToGrid w:val="0"/>
      <w:jc w:val="left"/>
    </w:pPr>
    <w:rPr>
      <w:kern w:val="0"/>
      <w:sz w:val="18"/>
      <w:szCs w:val="18"/>
    </w:rPr>
  </w:style>
  <w:style w:type="paragraph" w:styleId="61">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3"/>
    <w:pPr>
      <w:spacing w:line="360" w:lineRule="auto"/>
      <w:ind w:firstLine="425"/>
    </w:pPr>
    <w:rPr>
      <w:rFonts w:ascii="宋体"/>
      <w:kern w:val="0"/>
      <w:sz w:val="20"/>
    </w:rPr>
  </w:style>
  <w:style w:type="paragraph" w:styleId="24">
    <w:name w:val="toc 2"/>
    <w:basedOn w:val="a0"/>
    <w:next w:val="a0"/>
    <w:pPr>
      <w:spacing w:after="120" w:line="360" w:lineRule="auto"/>
      <w:ind w:left="420" w:firstLine="480"/>
    </w:pPr>
    <w:rPr>
      <w:rFonts w:ascii="宋体" w:hAnsi="宋体" w:cs="Arial"/>
      <w:bCs/>
      <w:color w:val="000000"/>
      <w:kern w:val="0"/>
      <w:szCs w:val="21"/>
      <w:lang w:val="zh-CN"/>
    </w:rPr>
  </w:style>
  <w:style w:type="paragraph" w:styleId="91">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5">
    <w:name w:val="Body Text 2"/>
    <w:basedOn w:val="a0"/>
    <w:link w:val="26"/>
    <w:qFormat/>
    <w:rPr>
      <w:kern w:val="0"/>
      <w:sz w:val="28"/>
      <w:szCs w:val="20"/>
    </w:rPr>
  </w:style>
  <w:style w:type="paragraph" w:styleId="aff0">
    <w:name w:val="Normal (Web)"/>
    <w:basedOn w:val="a0"/>
    <w:uiPriority w:val="99"/>
    <w:pPr>
      <w:widowControl/>
      <w:spacing w:before="100" w:beforeAutospacing="1" w:after="100" w:afterAutospacing="1"/>
      <w:jc w:val="left"/>
    </w:pPr>
    <w:rPr>
      <w:rFonts w:ascii="宋体" w:hAnsi="宋体"/>
      <w:kern w:val="0"/>
      <w:sz w:val="24"/>
    </w:rPr>
  </w:style>
  <w:style w:type="paragraph" w:styleId="aff1">
    <w:name w:val="Title"/>
    <w:basedOn w:val="a0"/>
    <w:link w:val="aff2"/>
    <w:qFormat/>
    <w:pPr>
      <w:autoSpaceDE w:val="0"/>
      <w:autoSpaceDN w:val="0"/>
      <w:adjustRightInd w:val="0"/>
      <w:spacing w:before="240" w:after="60"/>
      <w:jc w:val="center"/>
      <w:textAlignment w:val="baseline"/>
      <w:outlineLvl w:val="0"/>
    </w:pPr>
    <w:rPr>
      <w:rFonts w:ascii="Arial" w:hAnsi="Arial"/>
      <w:b/>
      <w:bCs/>
      <w:kern w:val="0"/>
      <w:sz w:val="32"/>
      <w:szCs w:val="32"/>
    </w:rPr>
  </w:style>
  <w:style w:type="character" w:styleId="aff3">
    <w:name w:val="Strong"/>
    <w:uiPriority w:val="22"/>
    <w:qFormat/>
    <w:rPr>
      <w:b/>
      <w:bCs/>
    </w:rPr>
  </w:style>
  <w:style w:type="character" w:styleId="aff4">
    <w:name w:val="endnote reference"/>
    <w:qFormat/>
    <w:rPr>
      <w:vertAlign w:val="superscript"/>
    </w:rPr>
  </w:style>
  <w:style w:type="character" w:styleId="aff5">
    <w:name w:val="page number"/>
    <w:basedOn w:val="a1"/>
    <w:qFormat/>
  </w:style>
  <w:style w:type="character" w:styleId="aff6">
    <w:name w:val="FollowedHyperlink"/>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table" w:styleId="a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customStyle="1" w:styleId="23">
    <w:name w:val="正文文本缩进 2 字符"/>
    <w:link w:val="22"/>
    <w:qFormat/>
    <w:rPr>
      <w:rFonts w:ascii="宋体" w:hAnsi="宋体"/>
      <w:color w:val="FF0000"/>
      <w:szCs w:val="24"/>
    </w:rPr>
  </w:style>
  <w:style w:type="character" w:customStyle="1" w:styleId="33">
    <w:name w:val="正文文本缩进 3 字符"/>
    <w:link w:val="32"/>
    <w:qFormat/>
    <w:rPr>
      <w:rFonts w:ascii="宋体" w:hAnsi="Times New Roman"/>
      <w:szCs w:val="24"/>
    </w:rPr>
  </w:style>
  <w:style w:type="character" w:customStyle="1" w:styleId="tt11">
    <w:name w:val="tt11"/>
    <w:rPr>
      <w:spacing w:val="400"/>
      <w:sz w:val="22"/>
      <w:szCs w:val="22"/>
    </w:rPr>
  </w:style>
  <w:style w:type="character" w:customStyle="1" w:styleId="af3">
    <w:name w:val="纯文本 字符"/>
    <w:link w:val="af2"/>
    <w:rPr>
      <w:rFonts w:ascii="Arial Unicode MS" w:eastAsia="Arial Unicode MS" w:hAnsi="Arial Unicode MS" w:cs="Arial Unicode MS"/>
      <w:kern w:val="0"/>
      <w:sz w:val="24"/>
      <w:szCs w:val="24"/>
    </w:rPr>
  </w:style>
  <w:style w:type="character" w:customStyle="1" w:styleId="60">
    <w:name w:val="标题 6 字符"/>
    <w:link w:val="6"/>
    <w:qFormat/>
    <w:rPr>
      <w:rFonts w:ascii="Arial" w:eastAsia="黑体" w:hAnsi="Arial" w:cs="Times New Roman"/>
      <w:b/>
      <w:kern w:val="0"/>
      <w:sz w:val="24"/>
      <w:szCs w:val="20"/>
    </w:rPr>
  </w:style>
  <w:style w:type="character" w:customStyle="1" w:styleId="a9">
    <w:name w:val="正文首行缩进 字符"/>
    <w:link w:val="a7"/>
    <w:qFormat/>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qFormat/>
    <w:rPr>
      <w:spacing w:val="360"/>
      <w:sz w:val="25"/>
      <w:szCs w:val="25"/>
    </w:rPr>
  </w:style>
  <w:style w:type="character" w:customStyle="1" w:styleId="apple-style-span">
    <w:name w:val="apple-style-span"/>
    <w:basedOn w:val="a1"/>
    <w:qFormat/>
  </w:style>
  <w:style w:type="character" w:customStyle="1" w:styleId="af7">
    <w:name w:val="尾注文本 字符"/>
    <w:link w:val="af6"/>
    <w:qFormat/>
    <w:rPr>
      <w:rFonts w:ascii="Times New Roman" w:hAnsi="Times New Roman"/>
    </w:rPr>
  </w:style>
  <w:style w:type="character" w:customStyle="1" w:styleId="af">
    <w:name w:val="文档结构图 字符"/>
    <w:link w:val="ae"/>
    <w:qFormat/>
    <w:rPr>
      <w:rFonts w:ascii="宋体" w:hAnsi="宋体"/>
      <w:bCs/>
      <w:color w:val="000000"/>
      <w:szCs w:val="21"/>
      <w:shd w:val="clear" w:color="auto" w:fill="000080"/>
      <w:lang w:val="zh-CN"/>
    </w:rPr>
  </w:style>
  <w:style w:type="character" w:customStyle="1" w:styleId="c1">
    <w:name w:val="c1"/>
    <w:qFormat/>
    <w:rPr>
      <w:color w:val="000000"/>
      <w:spacing w:val="257"/>
      <w:sz w:val="15"/>
      <w:szCs w:val="15"/>
    </w:rPr>
  </w:style>
  <w:style w:type="character" w:customStyle="1" w:styleId="12">
    <w:name w:val="标题 1 字符"/>
    <w:link w:val="11"/>
    <w:qFormat/>
    <w:rPr>
      <w:rFonts w:ascii="宋体" w:eastAsia="黑体" w:hAnsi="Times New Roman" w:cs="Times New Roman"/>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21">
    <w:name w:val="标题 2 字符"/>
    <w:link w:val="20"/>
    <w:uiPriority w:val="9"/>
    <w:qFormat/>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6">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d">
    <w:name w:val="页眉 字符"/>
    <w:link w:val="afc"/>
    <w:uiPriority w:val="99"/>
    <w:qFormat/>
    <w:rPr>
      <w:rFonts w:ascii="Times New Roman" w:hAnsi="Times New Roman"/>
      <w:sz w:val="18"/>
      <w:szCs w:val="18"/>
    </w:rPr>
  </w:style>
  <w:style w:type="character" w:customStyle="1" w:styleId="afb">
    <w:name w:val="页脚 字符"/>
    <w:link w:val="afa"/>
    <w:uiPriority w:val="99"/>
    <w:qFormat/>
    <w:rPr>
      <w:rFonts w:ascii="Times New Roman" w:hAnsi="Times New Roman"/>
      <w:sz w:val="18"/>
      <w:szCs w:val="18"/>
    </w:rPr>
  </w:style>
  <w:style w:type="character" w:customStyle="1" w:styleId="read1">
    <w:name w:val="read1"/>
    <w:qFormat/>
    <w:rPr>
      <w:rFonts w:hint="default"/>
      <w:color w:val="000000"/>
      <w:spacing w:val="450"/>
      <w:u w:val="none"/>
    </w:rPr>
  </w:style>
  <w:style w:type="character" w:customStyle="1" w:styleId="af5">
    <w:name w:val="日期 字符"/>
    <w:link w:val="af4"/>
    <w:qFormat/>
    <w:rPr>
      <w:rFonts w:ascii="宋体" w:eastAsia="宋体" w:hAnsi="宋体" w:cs="Times New Roman"/>
      <w:kern w:val="0"/>
      <w:sz w:val="24"/>
      <w:szCs w:val="21"/>
    </w:rPr>
  </w:style>
  <w:style w:type="character" w:customStyle="1" w:styleId="aff2">
    <w:name w:val="标题 字符"/>
    <w:link w:val="aff1"/>
    <w:qFormat/>
    <w:rPr>
      <w:rFonts w:ascii="Arial" w:eastAsia="宋体" w:hAnsi="Arial" w:cs="Arial"/>
      <w:b/>
      <w:bCs/>
      <w:kern w:val="0"/>
      <w:sz w:val="32"/>
      <w:szCs w:val="32"/>
    </w:rPr>
  </w:style>
  <w:style w:type="character" w:customStyle="1" w:styleId="aa">
    <w:name w:val="正文文本 字符"/>
    <w:link w:val="a8"/>
    <w:qFormat/>
    <w:rPr>
      <w:rFonts w:ascii="宋体" w:eastAsia="宋体" w:hAnsi="宋体" w:cs="Times New Roman"/>
      <w:kern w:val="0"/>
      <w:sz w:val="24"/>
      <w:szCs w:val="21"/>
    </w:rPr>
  </w:style>
  <w:style w:type="character" w:customStyle="1" w:styleId="af1">
    <w:name w:val="正文文本缩进 字符"/>
    <w:link w:val="af0"/>
    <w:rPr>
      <w:rFonts w:ascii="Times New Roman" w:hAnsi="Times New Roman"/>
      <w:sz w:val="24"/>
    </w:rPr>
  </w:style>
  <w:style w:type="character" w:customStyle="1" w:styleId="c">
    <w:name w:val="c"/>
    <w:basedOn w:val="a1"/>
  </w:style>
  <w:style w:type="character" w:customStyle="1" w:styleId="read">
    <w:name w:val="read"/>
    <w:basedOn w:val="a1"/>
    <w:qFormat/>
  </w:style>
  <w:style w:type="character" w:customStyle="1" w:styleId="affd">
    <w:name w:val="批注文字 字符"/>
    <w:qFormat/>
    <w:rPr>
      <w:kern w:val="2"/>
      <w:sz w:val="21"/>
    </w:rPr>
  </w:style>
  <w:style w:type="character" w:customStyle="1" w:styleId="font21">
    <w:name w:val="font21"/>
    <w:qFormat/>
    <w:rPr>
      <w:color w:val="CC6600"/>
      <w:sz w:val="20"/>
      <w:szCs w:val="20"/>
    </w:rPr>
  </w:style>
  <w:style w:type="character" w:customStyle="1" w:styleId="aff">
    <w:name w:val="脚注文本 字符"/>
    <w:link w:val="afe"/>
    <w:qFormat/>
    <w:rPr>
      <w:rFonts w:ascii="Times New Roman" w:hAnsi="Times New Roman"/>
      <w:sz w:val="18"/>
      <w:szCs w:val="18"/>
    </w:rPr>
  </w:style>
  <w:style w:type="character" w:customStyle="1" w:styleId="af9">
    <w:name w:val="批注框文本 字符"/>
    <w:link w:val="af8"/>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5"/>
    <w:qFormat/>
    <w:rPr>
      <w:rFonts w:ascii="Times New Roman" w:hAnsi="Times New Roman"/>
      <w:szCs w:val="24"/>
    </w:rPr>
  </w:style>
  <w:style w:type="character" w:customStyle="1" w:styleId="a6">
    <w:name w:val="批注主题 字符"/>
    <w:link w:val="a4"/>
    <w:qFormat/>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BS8Char">
    <w:name w:val="BS标题8 Char"/>
    <w:link w:val="BS8"/>
    <w:qFormat/>
    <w:rPr>
      <w:rFonts w:ascii="Times New Roman" w:hAnsi="Times New Roman"/>
      <w:szCs w:val="32"/>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txtcontent11">
    <w:name w:val="txtcontent11"/>
    <w:qFormat/>
    <w:rPr>
      <w:rFonts w:ascii="ˎ̥" w:hAnsi="ˎ̥" w:hint="default"/>
      <w:color w:val="000000"/>
      <w:sz w:val="21"/>
      <w:szCs w:val="21"/>
    </w:rPr>
  </w:style>
  <w:style w:type="paragraph" w:customStyle="1" w:styleId="10">
    <w:name w:val="1"/>
    <w:basedOn w:val="a0"/>
    <w:pPr>
      <w:numPr>
        <w:numId w:val="1"/>
      </w:numPr>
      <w:spacing w:before="100" w:beforeAutospacing="1" w:after="100" w:afterAutospacing="1" w:line="360" w:lineRule="auto"/>
      <w:ind w:leftChars="200" w:left="420" w:firstLine="0"/>
    </w:pPr>
  </w:style>
  <w:style w:type="paragraph" w:customStyle="1" w:styleId="16">
    <w:name w:val="列出段落1"/>
    <w:basedOn w:val="a0"/>
    <w:qFormat/>
    <w:pPr>
      <w:ind w:firstLineChars="200" w:firstLine="420"/>
    </w:pPr>
    <w:rPr>
      <w:rFonts w:ascii="Calibri" w:hAnsi="Calibri"/>
      <w:szCs w:val="22"/>
    </w:rPr>
  </w:style>
  <w:style w:type="paragraph" w:customStyle="1" w:styleId="2">
    <w:name w:val="列表2"/>
    <w:basedOn w:val="a0"/>
    <w:next w:val="aff1"/>
    <w:qFormat/>
    <w:pPr>
      <w:numPr>
        <w:numId w:val="2"/>
      </w:numPr>
      <w:spacing w:line="360" w:lineRule="auto"/>
    </w:pPr>
    <w:rPr>
      <w:rFonts w:ascii="宋体"/>
      <w:szCs w:val="20"/>
    </w:rPr>
  </w:style>
  <w:style w:type="paragraph" w:customStyle="1" w:styleId="Default">
    <w:name w:val="Default"/>
    <w:qFormat/>
    <w:pPr>
      <w:widowControl w:val="0"/>
      <w:autoSpaceDE w:val="0"/>
      <w:autoSpaceDN w:val="0"/>
      <w:adjustRightInd w:val="0"/>
    </w:pPr>
    <w:rPr>
      <w:rFonts w:ascii="宋体" w:cs="Calibri"/>
      <w:color w:val="000000"/>
      <w:sz w:val="24"/>
      <w:szCs w:val="24"/>
    </w:rPr>
  </w:style>
  <w:style w:type="paragraph" w:customStyle="1" w:styleId="Char">
    <w:name w:val="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affe">
    <w:name w:val="正文正文"/>
    <w:basedOn w:val="a0"/>
    <w:qFormat/>
    <w:pPr>
      <w:spacing w:afterLines="25" w:line="360" w:lineRule="auto"/>
      <w:ind w:firstLineChars="200" w:firstLine="200"/>
    </w:pPr>
    <w:rPr>
      <w:sz w:val="24"/>
    </w:rPr>
  </w:style>
  <w:style w:type="paragraph" w:customStyle="1" w:styleId="1">
    <w:name w:val="列表1"/>
    <w:basedOn w:val="a0"/>
    <w:next w:val="a0"/>
    <w:qFormat/>
    <w:pPr>
      <w:numPr>
        <w:numId w:val="3"/>
      </w:numPr>
      <w:spacing w:line="360" w:lineRule="auto"/>
    </w:pPr>
    <w:rPr>
      <w:szCs w:val="20"/>
    </w:rPr>
  </w:style>
  <w:style w:type="paragraph" w:customStyle="1" w:styleId="CharCharCharChar">
    <w:name w:val="Char Char Char Char"/>
    <w:basedOn w:val="a0"/>
    <w:qFormat/>
    <w:pPr>
      <w:tabs>
        <w:tab w:val="left" w:pos="360"/>
      </w:tabs>
    </w:pPr>
    <w:rPr>
      <w:sz w:val="24"/>
    </w:rPr>
  </w:style>
  <w:style w:type="paragraph" w:customStyle="1" w:styleId="Char2">
    <w:name w:val="Char2"/>
    <w:basedOn w:val="a0"/>
    <w:qFormat/>
  </w:style>
  <w:style w:type="paragraph" w:customStyle="1" w:styleId="CharCharCharChar11">
    <w:name w:val="Char Char Char Char11"/>
    <w:basedOn w:val="a0"/>
    <w:qFormat/>
    <w:rPr>
      <w:szCs w:val="20"/>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f">
    <w:name w:val="正文所"/>
    <w:basedOn w:val="a0"/>
    <w:qFormat/>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0"/>
    <w:pPr>
      <w:spacing w:line="360" w:lineRule="auto"/>
      <w:ind w:firstLine="0"/>
    </w:pPr>
    <w:rPr>
      <w:szCs w:val="24"/>
    </w:rPr>
  </w:style>
  <w:style w:type="paragraph" w:customStyle="1" w:styleId="150">
    <w:name w:val="样式 宋体 四号 行距: 1.5 倍行距"/>
    <w:basedOn w:val="a0"/>
    <w:qFormat/>
    <w:pPr>
      <w:spacing w:line="360" w:lineRule="auto"/>
    </w:pPr>
    <w:rPr>
      <w:rFonts w:ascii="宋体" w:hAnsi="宋体"/>
      <w:sz w:val="24"/>
      <w:szCs w:val="20"/>
    </w:rPr>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customStyle="1" w:styleId="17">
    <w:name w:val="修订1"/>
    <w:uiPriority w:val="99"/>
    <w:semiHidden/>
    <w:qFormat/>
    <w:rPr>
      <w:rFonts w:cs="Calibri"/>
      <w:kern w:val="2"/>
      <w:sz w:val="21"/>
      <w:szCs w:val="24"/>
    </w:rPr>
  </w:style>
  <w:style w:type="paragraph" w:customStyle="1" w:styleId="27">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Char3">
    <w:name w:val="Char3"/>
    <w:basedOn w:val="a0"/>
    <w:qFormat/>
    <w:pPr>
      <w:tabs>
        <w:tab w:val="left" w:pos="360"/>
      </w:tabs>
    </w:pPr>
    <w:rPr>
      <w:sz w:val="24"/>
    </w:rPr>
  </w:style>
  <w:style w:type="paragraph" w:customStyle="1" w:styleId="CharCharCharChar12">
    <w:name w:val="Char Char Char Char12"/>
    <w:basedOn w:val="a0"/>
    <w:qFormat/>
    <w:rPr>
      <w:szCs w:val="20"/>
    </w:rPr>
  </w:style>
  <w:style w:type="table" w:customStyle="1" w:styleId="18">
    <w:name w:val="网格型1"/>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qFormat/>
    <w:pPr>
      <w:tabs>
        <w:tab w:val="left" w:pos="360"/>
      </w:tabs>
    </w:pPr>
    <w:rPr>
      <w:rFonts w:cs="Times New Roman"/>
      <w:sz w:val="24"/>
    </w:rPr>
  </w:style>
  <w:style w:type="paragraph" w:customStyle="1" w:styleId="p0">
    <w:name w:val="p0"/>
    <w:basedOn w:val="a0"/>
    <w:qFormat/>
    <w:pPr>
      <w:widowControl/>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hyperlink" Target="tel:%E2%80%AA1994-1997%E2%80%AC" TargetMode="Externa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yperlink" Target="mailto:service@bosera.c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tel:%E2%80%AA1986-1990%E2%80%AC" TargetMode="External"/><Relationship Id="rId29" Type="http://schemas.openxmlformats.org/officeDocument/2006/relationships/footer" Target="footer14.xml"/><Relationship Id="rId41" Type="http://schemas.openxmlformats.org/officeDocument/2006/relationships/footer" Target="footer25.xml"/><Relationship Id="rId54" Type="http://schemas.openxmlformats.org/officeDocument/2006/relationships/footer" Target="footer37.xml"/><Relationship Id="rId62"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header" Target="header6.xml"/><Relationship Id="rId53" Type="http://schemas.openxmlformats.org/officeDocument/2006/relationships/footer" Target="footer36.xml"/><Relationship Id="rId58" Type="http://schemas.openxmlformats.org/officeDocument/2006/relationships/footer" Target="footer3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8.xml"/><Relationship Id="rId61"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footer" Target="footer4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tel:%E2%80%AA2003-2006%E2%80%AC" TargetMode="External"/><Relationship Id="rId27" Type="http://schemas.openxmlformats.org/officeDocument/2006/relationships/footer" Target="footer12.xml"/><Relationship Id="rId30" Type="http://schemas.openxmlformats.org/officeDocument/2006/relationships/header" Target="header5.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hyperlink" Target="mailto:service@bosera.co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A8572-01A0-4033-9394-56BEF333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121</Pages>
  <Words>15094</Words>
  <Characters>86040</Characters>
  <Application>Microsoft Office Word</Application>
  <DocSecurity>0</DocSecurity>
  <Lines>717</Lines>
  <Paragraphs>201</Paragraphs>
  <ScaleCrop>false</ScaleCrop>
  <Company/>
  <LinksUpToDate>false</LinksUpToDate>
  <CharactersWithSpaces>100933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付雪军</cp:lastModifiedBy>
  <cp:revision>30</cp:revision>
  <cp:lastPrinted>2020-09-30T04:19:00Z</cp:lastPrinted>
  <dcterms:created xsi:type="dcterms:W3CDTF">2020-08-28T08:20:00Z</dcterms:created>
  <dcterms:modified xsi:type="dcterms:W3CDTF">2021-01-04T01:51:00Z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