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072"/>
        <w:gridCol w:w="6934"/>
        <w:gridCol w:w="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04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类别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型号</w:t>
            </w:r>
          </w:p>
        </w:tc>
        <w:tc>
          <w:tcPr>
            <w:tcW w:w="69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配置需求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流量采集设备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盛科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  <w:t>V681-48Y8C</w:t>
            </w:r>
          </w:p>
        </w:tc>
        <w:tc>
          <w:tcPr>
            <w:tcW w:w="6934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提供≥48*10GE/25G+8*40GE/100GE业务接口，光模块可以依据要求进行选配，实际每台至少满配48个25G多模模块和8个100GE多模Bidi模块。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支持至少双路冗余电源与冗余风扇。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支持流量复制与过滤、负载均衡、源端口标记等功能。设备基本功能规则下支持不低于2Tbps的线速转发能力无丢包。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流量采集设备（具备高级功能）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盛科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  <w:t>V682-32C</w:t>
            </w:r>
          </w:p>
        </w:tc>
        <w:tc>
          <w:tcPr>
            <w:tcW w:w="6934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提供≥32*40GE/100GE业务接口，光模块可以依据要求进行选配，实际每台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至少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满配32个100GE多模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Bidi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模块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支持至少双路冗余电源与冗余风扇。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在流量采集设备的功能基础上支持流量去重功能。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设备基本功能规则下支持不低于3.2Tbps的线速转发能力无丢包，且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流量去重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处理性能不低于100Gbps。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60FDE"/>
    <w:rsid w:val="4D36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 w:eastAsia="仿宋_GB2312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2026-10-14T07:45:00Z</dcterms:created>
  <dc:creator>匿名用户</dc:creator>
  <cp:lastModifiedBy>匿名用户</cp:lastModifiedBy>
  <dcterms:modified xsi:type="dcterms:W3CDTF">2026-10-14T07:46:18Z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5FCA9557073D4D8D82AEC83082EAC852</vt:lpwstr>
  </property>
</Properties>
</file>