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950"/>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pPr>
              <w:spacing w:line="360" w:lineRule="auto"/>
              <w:jc w:val="center"/>
              <w:rPr>
                <w:rFonts w:hint="eastAsia" w:ascii="宋体-简" w:hAnsi="宋体-简" w:eastAsia="宋体-简" w:cs="宋体"/>
                <w:b/>
                <w:bCs/>
                <w:kern w:val="0"/>
                <w:sz w:val="24"/>
                <w:szCs w:val="24"/>
              </w:rPr>
            </w:pPr>
            <w:r>
              <w:rPr>
                <w:rFonts w:hint="eastAsia" w:ascii="宋体-简" w:hAnsi="宋体-简" w:eastAsia="宋体-简" w:cs="宋体"/>
                <w:b/>
                <w:bCs/>
                <w:kern w:val="0"/>
                <w:sz w:val="24"/>
                <w:szCs w:val="24"/>
              </w:rPr>
              <w:t>序号</w:t>
            </w:r>
          </w:p>
        </w:tc>
        <w:tc>
          <w:tcPr>
            <w:tcW w:w="1950" w:type="dxa"/>
            <w:noWrap w:val="0"/>
            <w:vAlign w:val="top"/>
          </w:tcPr>
          <w:p>
            <w:pPr>
              <w:spacing w:line="360" w:lineRule="auto"/>
              <w:jc w:val="center"/>
              <w:rPr>
                <w:rFonts w:hint="eastAsia" w:ascii="宋体-简" w:hAnsi="宋体-简" w:eastAsia="宋体-简" w:cs="宋体"/>
                <w:b/>
                <w:bCs/>
                <w:kern w:val="0"/>
                <w:sz w:val="24"/>
                <w:szCs w:val="24"/>
              </w:rPr>
            </w:pPr>
            <w:r>
              <w:rPr>
                <w:rFonts w:hint="eastAsia" w:ascii="宋体-简" w:hAnsi="宋体-简" w:eastAsia="宋体-简" w:cs="宋体"/>
                <w:b/>
                <w:bCs/>
                <w:kern w:val="0"/>
                <w:sz w:val="24"/>
                <w:szCs w:val="24"/>
              </w:rPr>
              <w:t>功能名称</w:t>
            </w:r>
          </w:p>
        </w:tc>
        <w:tc>
          <w:tcPr>
            <w:tcW w:w="6443" w:type="dxa"/>
            <w:noWrap w:val="0"/>
            <w:vAlign w:val="top"/>
          </w:tcPr>
          <w:p>
            <w:pPr>
              <w:spacing w:line="360" w:lineRule="auto"/>
              <w:jc w:val="center"/>
              <w:rPr>
                <w:rFonts w:hint="eastAsia" w:ascii="宋体-简" w:hAnsi="宋体-简" w:eastAsia="宋体-简" w:cs="宋体"/>
                <w:b/>
                <w:bCs/>
                <w:kern w:val="0"/>
                <w:sz w:val="24"/>
                <w:szCs w:val="24"/>
              </w:rPr>
            </w:pPr>
            <w:r>
              <w:rPr>
                <w:rFonts w:hint="eastAsia" w:ascii="宋体-简" w:hAnsi="宋体-简" w:eastAsia="宋体-简" w:cs="宋体"/>
                <w:b/>
                <w:bCs/>
                <w:kern w:val="0"/>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54"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1</w:t>
            </w:r>
          </w:p>
        </w:tc>
        <w:tc>
          <w:tcPr>
            <w:tcW w:w="1950"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多品牌负载均衡</w:t>
            </w:r>
            <w:r>
              <w:rPr>
                <w:rFonts w:hint="eastAsia" w:ascii="宋体-简" w:hAnsi="宋体-简" w:eastAsia="宋体-简" w:cs="宋体"/>
                <w:kern w:val="0"/>
                <w:sz w:val="24"/>
                <w:szCs w:val="24"/>
                <w:lang w:val="en-US" w:eastAsia="zh-CN"/>
              </w:rPr>
              <w:t>设备</w:t>
            </w:r>
            <w:r>
              <w:rPr>
                <w:rFonts w:hint="eastAsia" w:ascii="宋体-简" w:hAnsi="宋体-简" w:eastAsia="宋体-简" w:cs="宋体"/>
                <w:kern w:val="0"/>
                <w:sz w:val="24"/>
                <w:szCs w:val="24"/>
              </w:rPr>
              <w:t>管理能力</w:t>
            </w:r>
          </w:p>
        </w:tc>
        <w:tc>
          <w:tcPr>
            <w:tcW w:w="6443" w:type="dxa"/>
            <w:shd w:val="clear" w:color="auto" w:fill="FFFFFF"/>
            <w:noWrap w:val="0"/>
            <w:vAlign w:val="top"/>
          </w:tcPr>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支持</w:t>
            </w:r>
            <w:r>
              <w:rPr>
                <w:rFonts w:hint="eastAsia" w:ascii="宋体-简" w:hAnsi="宋体-简" w:eastAsia="宋体-简" w:cs="宋体"/>
                <w:kern w:val="0"/>
                <w:sz w:val="24"/>
                <w:szCs w:val="24"/>
                <w:lang w:val="en-US" w:eastAsia="zh-CN"/>
              </w:rPr>
              <w:t>对</w:t>
            </w:r>
            <w:r>
              <w:rPr>
                <w:rFonts w:hint="eastAsia" w:ascii="宋体-简" w:hAnsi="宋体-简" w:eastAsia="宋体-简" w:cs="宋体"/>
                <w:kern w:val="0"/>
                <w:sz w:val="24"/>
                <w:szCs w:val="24"/>
              </w:rPr>
              <w:t>F5、弘积</w:t>
            </w:r>
            <w:r>
              <w:rPr>
                <w:rFonts w:hint="eastAsia" w:ascii="宋体-简" w:hAnsi="宋体-简" w:eastAsia="宋体-简" w:cs="宋体"/>
                <w:kern w:val="0"/>
                <w:sz w:val="24"/>
                <w:szCs w:val="24"/>
                <w:lang w:eastAsia="zh-CN"/>
              </w:rPr>
              <w:t>、</w:t>
            </w:r>
            <w:r>
              <w:rPr>
                <w:rFonts w:hint="eastAsia" w:ascii="宋体-简" w:hAnsi="宋体-简" w:eastAsia="宋体-简" w:cs="宋体"/>
                <w:kern w:val="0"/>
                <w:sz w:val="24"/>
                <w:szCs w:val="24"/>
              </w:rPr>
              <w:t>信安世纪等</w:t>
            </w:r>
            <w:r>
              <w:rPr>
                <w:rFonts w:hint="eastAsia" w:ascii="宋体-简" w:hAnsi="宋体-简" w:eastAsia="宋体-简" w:cs="宋体"/>
                <w:kern w:val="0"/>
                <w:sz w:val="24"/>
                <w:szCs w:val="24"/>
                <w:lang w:val="en-US" w:eastAsia="zh-CN"/>
              </w:rPr>
              <w:t>主流品牌</w:t>
            </w:r>
            <w:r>
              <w:rPr>
                <w:rFonts w:hint="eastAsia" w:ascii="宋体-简" w:hAnsi="宋体-简" w:eastAsia="宋体-简" w:cs="宋体"/>
                <w:kern w:val="0"/>
                <w:sz w:val="24"/>
                <w:szCs w:val="24"/>
              </w:rPr>
              <w:t>的负载均衡设备</w:t>
            </w:r>
            <w:r>
              <w:rPr>
                <w:rFonts w:hint="eastAsia" w:ascii="宋体-简" w:hAnsi="宋体-简" w:eastAsia="宋体-简" w:cs="宋体"/>
                <w:kern w:val="0"/>
                <w:sz w:val="24"/>
                <w:szCs w:val="24"/>
                <w:lang w:val="en-US" w:eastAsia="zh-CN"/>
              </w:rPr>
              <w:t>进行统一管理，包括设备基础信息展示、远程登录等</w:t>
            </w:r>
            <w:r>
              <w:rPr>
                <w:rFonts w:hint="eastAsia" w:ascii="宋体-简" w:hAnsi="宋体-简" w:eastAsia="宋体-简"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2</w:t>
            </w:r>
          </w:p>
        </w:tc>
        <w:tc>
          <w:tcPr>
            <w:tcW w:w="1950"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应用资产管理功能</w:t>
            </w:r>
          </w:p>
        </w:tc>
        <w:tc>
          <w:tcPr>
            <w:tcW w:w="6443" w:type="dxa"/>
            <w:shd w:val="clear" w:color="auto" w:fill="FFFFFF"/>
            <w:noWrap w:val="0"/>
            <w:vAlign w:val="top"/>
          </w:tcPr>
          <w:p>
            <w:pPr>
              <w:spacing w:line="360" w:lineRule="auto"/>
              <w:rPr>
                <w:rFonts w:hint="default" w:ascii="宋体-简" w:hAnsi="宋体-简" w:eastAsia="宋体-简" w:cs="宋体"/>
                <w:kern w:val="0"/>
                <w:sz w:val="24"/>
                <w:szCs w:val="24"/>
                <w:lang w:val="en-US" w:eastAsia="zh-CN"/>
              </w:rPr>
            </w:pPr>
            <w:r>
              <w:rPr>
                <w:rFonts w:hint="eastAsia" w:ascii="宋体-简" w:hAnsi="宋体-简" w:eastAsia="宋体-简" w:cs="宋体"/>
                <w:kern w:val="0"/>
                <w:sz w:val="24"/>
                <w:szCs w:val="24"/>
              </w:rPr>
              <w:t>（</w:t>
            </w:r>
            <w:r>
              <w:rPr>
                <w:rFonts w:hint="eastAsia" w:ascii="宋体-简" w:hAnsi="宋体-简" w:eastAsia="宋体-简" w:cs="宋体"/>
                <w:kern w:val="0"/>
                <w:sz w:val="24"/>
                <w:szCs w:val="24"/>
                <w:lang w:val="en-US" w:eastAsia="zh-CN"/>
              </w:rPr>
              <w:t>1</w:t>
            </w:r>
            <w:r>
              <w:rPr>
                <w:rFonts w:hint="eastAsia" w:ascii="宋体-简" w:hAnsi="宋体-简" w:eastAsia="宋体-简" w:cs="宋体"/>
                <w:kern w:val="0"/>
                <w:sz w:val="24"/>
                <w:szCs w:val="24"/>
              </w:rPr>
              <w:t>）</w:t>
            </w:r>
            <w:r>
              <w:rPr>
                <w:rFonts w:hint="eastAsia" w:ascii="宋体-简" w:hAnsi="宋体-简" w:eastAsia="宋体-简" w:cs="宋体"/>
                <w:kern w:val="0"/>
                <w:sz w:val="24"/>
                <w:szCs w:val="24"/>
                <w:lang w:val="en-US" w:eastAsia="zh-CN"/>
              </w:rPr>
              <w:t>涵盖应用、域名IP（支持</w:t>
            </w:r>
            <w:r>
              <w:rPr>
                <w:rFonts w:hint="eastAsia" w:ascii="宋体-简" w:hAnsi="宋体-简" w:eastAsia="宋体-简" w:cs="宋体"/>
                <w:kern w:val="0"/>
                <w:sz w:val="24"/>
                <w:szCs w:val="24"/>
              </w:rPr>
              <w:t>IPv4</w:t>
            </w:r>
            <w:r>
              <w:rPr>
                <w:rFonts w:hint="eastAsia" w:ascii="宋体-简" w:hAnsi="宋体-简" w:eastAsia="宋体-简" w:cs="宋体"/>
                <w:kern w:val="0"/>
                <w:sz w:val="24"/>
                <w:szCs w:val="24"/>
                <w:lang w:val="en-US" w:eastAsia="zh-CN"/>
              </w:rPr>
              <w:t>/</w:t>
            </w:r>
            <w:r>
              <w:rPr>
                <w:rFonts w:hint="eastAsia" w:ascii="宋体-简" w:hAnsi="宋体-简" w:eastAsia="宋体-简" w:cs="宋体"/>
                <w:kern w:val="0"/>
                <w:sz w:val="24"/>
                <w:szCs w:val="24"/>
              </w:rPr>
              <w:t>IPv6</w:t>
            </w:r>
            <w:r>
              <w:rPr>
                <w:rFonts w:hint="eastAsia" w:ascii="宋体-简" w:hAnsi="宋体-简" w:eastAsia="宋体-简" w:cs="宋体"/>
                <w:kern w:val="0"/>
                <w:sz w:val="24"/>
                <w:szCs w:val="24"/>
                <w:lang w:val="en-US" w:eastAsia="zh-CN"/>
              </w:rPr>
              <w:t>）等资产的管理，能展示资产关联关系、使用状态等。</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（2）</w:t>
            </w:r>
            <w:r>
              <w:rPr>
                <w:rFonts w:hint="eastAsia" w:ascii="宋体-简" w:hAnsi="宋体-简" w:eastAsia="宋体-简" w:cs="宋体"/>
                <w:kern w:val="0"/>
                <w:sz w:val="24"/>
                <w:szCs w:val="24"/>
                <w:lang w:val="en-US" w:eastAsia="zh-CN"/>
              </w:rPr>
              <w:t>实现资产超期管理，对资产使用年限、维保过去情况进行监控和告警</w:t>
            </w:r>
            <w:r>
              <w:rPr>
                <w:rFonts w:hint="eastAsia" w:ascii="宋体-简" w:hAnsi="宋体-简" w:eastAsia="宋体-简"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3</w:t>
            </w:r>
          </w:p>
        </w:tc>
        <w:tc>
          <w:tcPr>
            <w:tcW w:w="1950"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负载均衡配置管理</w:t>
            </w:r>
          </w:p>
        </w:tc>
        <w:tc>
          <w:tcPr>
            <w:tcW w:w="6443" w:type="dxa"/>
            <w:shd w:val="clear" w:color="auto" w:fill="FFFFFF"/>
            <w:noWrap w:val="0"/>
            <w:vAlign w:val="top"/>
          </w:tcPr>
          <w:p>
            <w:pPr>
              <w:spacing w:line="360" w:lineRule="auto"/>
              <w:rPr>
                <w:rFonts w:hint="eastAsia" w:ascii="宋体-简" w:hAnsi="宋体-简" w:eastAsia="宋体-简" w:cs="宋体"/>
                <w:b w:val="0"/>
                <w:bCs w:val="0"/>
                <w:kern w:val="0"/>
                <w:sz w:val="24"/>
                <w:szCs w:val="24"/>
              </w:rPr>
            </w:pPr>
            <w:r>
              <w:rPr>
                <w:rFonts w:hint="eastAsia" w:ascii="宋体-简" w:hAnsi="宋体-简" w:eastAsia="宋体-简" w:cs="宋体"/>
                <w:b w:val="0"/>
                <w:bCs w:val="0"/>
                <w:kern w:val="0"/>
                <w:sz w:val="24"/>
                <w:szCs w:val="24"/>
              </w:rPr>
              <w:t>服务器负载配置：</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（1）支持虚拟服务器、虚拟地址、服务器池、真实服务器、会话保持、健康检查、策略、配置文件、地址转换等常用配置及配置对象的增、删、改、查；</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（2）支持虚拟服务器的、池成员的启用、禁用；</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（3）支持client ssl配置文件、策略、服务器池的引用数统计；</w:t>
            </w:r>
          </w:p>
          <w:p>
            <w:pPr>
              <w:spacing w:line="360" w:lineRule="auto"/>
              <w:rPr>
                <w:rFonts w:hint="eastAsia" w:ascii="宋体-简" w:hAnsi="宋体-简" w:eastAsia="宋体-简" w:cs="宋体"/>
                <w:b w:val="0"/>
                <w:bCs w:val="0"/>
                <w:kern w:val="0"/>
                <w:sz w:val="24"/>
                <w:szCs w:val="24"/>
              </w:rPr>
            </w:pPr>
            <w:r>
              <w:rPr>
                <w:rFonts w:hint="eastAsia" w:ascii="宋体-简" w:hAnsi="宋体-简" w:eastAsia="宋体-简" w:cs="宋体"/>
                <w:b w:val="0"/>
                <w:bCs w:val="0"/>
                <w:kern w:val="0"/>
                <w:sz w:val="24"/>
                <w:szCs w:val="24"/>
                <w:lang w:val="en-US" w:eastAsia="zh-CN"/>
              </w:rPr>
              <w:t>域名解析</w:t>
            </w:r>
            <w:r>
              <w:rPr>
                <w:rFonts w:hint="eastAsia" w:ascii="宋体-简" w:hAnsi="宋体-简" w:eastAsia="宋体-简" w:cs="宋体"/>
                <w:b w:val="0"/>
                <w:bCs w:val="0"/>
                <w:kern w:val="0"/>
                <w:sz w:val="24"/>
                <w:szCs w:val="24"/>
              </w:rPr>
              <w:t>配置：</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（1）支持域名、域名池的增、删、改、查；</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（2）支持域名的启用、禁用；</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（3）支持域名池的引用次数统计；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4</w:t>
            </w:r>
          </w:p>
        </w:tc>
        <w:tc>
          <w:tcPr>
            <w:tcW w:w="1950"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证书管理</w:t>
            </w:r>
          </w:p>
        </w:tc>
        <w:tc>
          <w:tcPr>
            <w:tcW w:w="6443" w:type="dxa"/>
            <w:shd w:val="clear" w:color="auto" w:fill="FFFFFF"/>
            <w:noWrap w:val="0"/>
            <w:vAlign w:val="top"/>
          </w:tcPr>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（1）支持国密、商密证书导入、导出、删除管理；</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（2</w:t>
            </w:r>
            <w:r>
              <w:rPr>
                <w:rFonts w:hint="eastAsia" w:ascii="宋体-简" w:hAnsi="宋体-简" w:eastAsia="宋体-简" w:cs="宋体"/>
                <w:kern w:val="0"/>
                <w:sz w:val="24"/>
                <w:szCs w:val="24"/>
                <w:highlight w:val="none"/>
              </w:rPr>
              <w:t>）</w:t>
            </w:r>
            <w:r>
              <w:rPr>
                <w:rFonts w:hint="eastAsia" w:ascii="宋体-简" w:hAnsi="宋体-简" w:eastAsia="宋体-简" w:cs="宋体"/>
                <w:kern w:val="0"/>
                <w:sz w:val="24"/>
                <w:szCs w:val="24"/>
              </w:rPr>
              <w:t>支持</w:t>
            </w:r>
            <w:r>
              <w:rPr>
                <w:rFonts w:hint="eastAsia" w:ascii="宋体-简" w:hAnsi="宋体-简" w:eastAsia="宋体-简" w:cs="宋体"/>
                <w:kern w:val="0"/>
                <w:sz w:val="24"/>
                <w:szCs w:val="24"/>
                <w:highlight w:val="none"/>
                <w:lang w:val="en-US" w:eastAsia="zh-CN"/>
              </w:rPr>
              <w:t>关联关系查询及跨设备替换</w:t>
            </w:r>
            <w:r>
              <w:rPr>
                <w:rFonts w:hint="eastAsia" w:ascii="宋体-简" w:hAnsi="宋体-简" w:eastAsia="宋体-简" w:cs="宋体"/>
                <w:kern w:val="0"/>
                <w:sz w:val="24"/>
                <w:szCs w:val="24"/>
                <w:highlight w:val="none"/>
              </w:rPr>
              <w:t>；</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（3）支持证书、证书链、根证书的对比；</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（5）支持对证书过期时间的管理；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5</w:t>
            </w:r>
          </w:p>
        </w:tc>
        <w:tc>
          <w:tcPr>
            <w:tcW w:w="1950"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批量作业</w:t>
            </w:r>
          </w:p>
        </w:tc>
        <w:tc>
          <w:tcPr>
            <w:tcW w:w="6443" w:type="dxa"/>
            <w:shd w:val="clear" w:color="auto" w:fill="FFFFFF"/>
            <w:noWrap w:val="0"/>
            <w:vAlign w:val="top"/>
          </w:tcPr>
          <w:p>
            <w:pPr>
              <w:spacing w:line="360" w:lineRule="auto"/>
              <w:rPr>
                <w:rFonts w:ascii="宋体-简" w:hAnsi="宋体-简" w:eastAsia="宋体-简" w:cs="宋体"/>
                <w:kern w:val="0"/>
                <w:sz w:val="24"/>
                <w:szCs w:val="24"/>
              </w:rPr>
            </w:pPr>
            <w:r>
              <w:rPr>
                <w:rFonts w:hint="eastAsia" w:ascii="宋体-简" w:hAnsi="宋体-简" w:eastAsia="宋体-简" w:cs="宋体"/>
                <w:kern w:val="0"/>
                <w:sz w:val="24"/>
                <w:szCs w:val="24"/>
              </w:rPr>
              <w:t>（1）批量巡检：可根据实际情况自定义巡检指标、手动或定时自动的方式执行全量/部分设备的巡检工作，巡检任务完成后自动生成巡检报告。</w:t>
            </w:r>
          </w:p>
          <w:p>
            <w:pPr>
              <w:spacing w:line="360" w:lineRule="auto"/>
              <w:rPr>
                <w:rFonts w:hint="eastAsia" w:ascii="宋体-简" w:hAnsi="宋体-简" w:eastAsia="宋体-简" w:cs="宋体"/>
                <w:b/>
                <w:bCs/>
                <w:kern w:val="0"/>
                <w:sz w:val="24"/>
                <w:szCs w:val="24"/>
              </w:rPr>
            </w:pPr>
            <w:r>
              <w:rPr>
                <w:rFonts w:hint="eastAsia" w:ascii="宋体-简" w:hAnsi="宋体-简" w:eastAsia="宋体-简" w:cs="宋体"/>
                <w:kern w:val="0"/>
                <w:sz w:val="24"/>
                <w:szCs w:val="24"/>
              </w:rPr>
              <w:t>（2）批量备份：支持负载均衡器配置批量备份，支持自动和手动备份配置。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6</w:t>
            </w:r>
          </w:p>
        </w:tc>
        <w:tc>
          <w:tcPr>
            <w:tcW w:w="1950"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业务可视化视图</w:t>
            </w:r>
          </w:p>
        </w:tc>
        <w:tc>
          <w:tcPr>
            <w:tcW w:w="6443" w:type="dxa"/>
            <w:shd w:val="clear" w:color="auto" w:fill="FFFFFF"/>
            <w:noWrap w:val="0"/>
            <w:vAlign w:val="top"/>
          </w:tcPr>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（1）支持纳管设备后自动生成全量从域名到真实服务器的多层级负载逻辑关系</w:t>
            </w:r>
            <w:r>
              <w:rPr>
                <w:rFonts w:hint="eastAsia" w:ascii="宋体-简" w:hAnsi="宋体-简" w:eastAsia="宋体-简" w:cs="宋体"/>
                <w:kern w:val="0"/>
                <w:sz w:val="24"/>
                <w:szCs w:val="24"/>
                <w:lang w:val="en-US" w:eastAsia="zh-CN"/>
              </w:rPr>
              <w:t>拓扑</w:t>
            </w:r>
            <w:r>
              <w:rPr>
                <w:rFonts w:hint="eastAsia" w:ascii="宋体-简" w:hAnsi="宋体-简" w:eastAsia="宋体-简" w:cs="宋体"/>
                <w:kern w:val="0"/>
                <w:sz w:val="24"/>
                <w:szCs w:val="24"/>
              </w:rPr>
              <w:t>；</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（2）支持在可视化视图中展示业务指标情况，如状态、吞吐、并发、连接数</w:t>
            </w:r>
            <w:r>
              <w:rPr>
                <w:rFonts w:hint="eastAsia" w:ascii="宋体-简" w:hAnsi="宋体-简" w:eastAsia="宋体-简" w:cs="宋体"/>
                <w:kern w:val="0"/>
                <w:sz w:val="24"/>
                <w:szCs w:val="24"/>
                <w:lang w:val="en-US" w:eastAsia="zh-CN"/>
              </w:rPr>
              <w:t>及</w:t>
            </w:r>
            <w:r>
              <w:rPr>
                <w:rFonts w:hint="eastAsia" w:ascii="宋体-简" w:hAnsi="宋体-简" w:eastAsia="宋体-简" w:cs="宋体"/>
                <w:kern w:val="0"/>
                <w:sz w:val="24"/>
                <w:szCs w:val="24"/>
              </w:rPr>
              <w:t>历史趋势；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FFFFFF"/>
            <w:noWrap w:val="0"/>
            <w:vAlign w:val="center"/>
          </w:tcPr>
          <w:p>
            <w:pPr>
              <w:spacing w:line="360" w:lineRule="auto"/>
              <w:jc w:val="center"/>
              <w:rPr>
                <w:rFonts w:hint="eastAsia" w:ascii="宋体-简" w:hAnsi="宋体-简" w:eastAsia="宋体-简" w:cs="宋体"/>
                <w:kern w:val="0"/>
                <w:sz w:val="24"/>
                <w:szCs w:val="24"/>
                <w:lang w:eastAsia="zh-CN"/>
              </w:rPr>
            </w:pPr>
            <w:r>
              <w:rPr>
                <w:rFonts w:hint="eastAsia" w:ascii="宋体-简" w:hAnsi="宋体-简" w:eastAsia="宋体-简" w:cs="宋体"/>
                <w:kern w:val="0"/>
                <w:sz w:val="24"/>
                <w:szCs w:val="24"/>
                <w:lang w:val="en-US" w:eastAsia="zh-CN"/>
              </w:rPr>
              <w:t>7</w:t>
            </w:r>
          </w:p>
        </w:tc>
        <w:tc>
          <w:tcPr>
            <w:tcW w:w="1950"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平台安全管理</w:t>
            </w:r>
          </w:p>
        </w:tc>
        <w:tc>
          <w:tcPr>
            <w:tcW w:w="6443" w:type="dxa"/>
            <w:shd w:val="clear" w:color="auto" w:fill="FFFFFF"/>
            <w:noWrap w:val="0"/>
            <w:vAlign w:val="top"/>
          </w:tcPr>
          <w:p>
            <w:pPr>
              <w:spacing w:line="360" w:lineRule="auto"/>
              <w:rPr>
                <w:rFonts w:hint="eastAsia" w:ascii="宋体-简" w:hAnsi="宋体-简" w:eastAsia="宋体-简" w:cs="宋体"/>
                <w:b w:val="0"/>
                <w:bCs w:val="0"/>
                <w:kern w:val="0"/>
                <w:sz w:val="24"/>
                <w:szCs w:val="24"/>
              </w:rPr>
            </w:pPr>
            <w:r>
              <w:rPr>
                <w:rFonts w:hint="eastAsia" w:ascii="宋体-简" w:hAnsi="宋体-简" w:eastAsia="宋体-简" w:cs="宋体"/>
                <w:b w:val="0"/>
                <w:bCs w:val="0"/>
                <w:kern w:val="0"/>
                <w:sz w:val="24"/>
                <w:szCs w:val="24"/>
              </w:rPr>
              <w:t>权限控制：</w:t>
            </w:r>
          </w:p>
          <w:p>
            <w:pPr>
              <w:spacing w:line="360" w:lineRule="auto"/>
              <w:rPr>
                <w:rFonts w:hint="eastAsia" w:ascii="宋体-简" w:hAnsi="宋体-简" w:eastAsia="宋体-简" w:cs="宋体"/>
                <w:b w:val="0"/>
                <w:bCs w:val="0"/>
                <w:kern w:val="0"/>
                <w:sz w:val="24"/>
                <w:szCs w:val="24"/>
              </w:rPr>
            </w:pPr>
            <w:r>
              <w:rPr>
                <w:rFonts w:hint="eastAsia" w:ascii="宋体-简" w:hAnsi="宋体-简" w:eastAsia="宋体-简" w:cs="宋体"/>
                <w:b w:val="0"/>
                <w:bCs w:val="0"/>
                <w:kern w:val="0"/>
                <w:sz w:val="24"/>
                <w:szCs w:val="24"/>
              </w:rPr>
              <w:t>（1）支持负载均衡配置对象元素化细颗粒度授权，支持资产层面、配置对象层面、业务层面、功能层面、API层面的权限控制；</w:t>
            </w:r>
          </w:p>
          <w:p>
            <w:pPr>
              <w:spacing w:line="360" w:lineRule="auto"/>
              <w:rPr>
                <w:rFonts w:hint="eastAsia" w:ascii="宋体-简" w:hAnsi="宋体-简" w:eastAsia="宋体-简" w:cs="宋体"/>
                <w:b w:val="0"/>
                <w:bCs w:val="0"/>
                <w:kern w:val="0"/>
                <w:sz w:val="24"/>
                <w:szCs w:val="24"/>
              </w:rPr>
            </w:pPr>
            <w:r>
              <w:rPr>
                <w:rFonts w:hint="eastAsia" w:ascii="宋体-简" w:hAnsi="宋体-简" w:eastAsia="宋体-简" w:cs="宋体"/>
                <w:b w:val="0"/>
                <w:bCs w:val="0"/>
                <w:kern w:val="0"/>
                <w:sz w:val="24"/>
                <w:szCs w:val="24"/>
              </w:rPr>
              <w:t>（2）支持定义多角色管理。</w:t>
            </w:r>
          </w:p>
          <w:p>
            <w:pPr>
              <w:spacing w:line="360" w:lineRule="auto"/>
              <w:rPr>
                <w:rFonts w:hint="eastAsia" w:ascii="宋体-简" w:hAnsi="宋体-简" w:eastAsia="宋体-简" w:cs="宋体"/>
                <w:b w:val="0"/>
                <w:bCs w:val="0"/>
                <w:kern w:val="0"/>
                <w:sz w:val="24"/>
                <w:szCs w:val="24"/>
              </w:rPr>
            </w:pPr>
            <w:r>
              <w:rPr>
                <w:rFonts w:hint="eastAsia" w:ascii="宋体-简" w:hAnsi="宋体-简" w:eastAsia="宋体-简" w:cs="宋体"/>
                <w:b w:val="0"/>
                <w:bCs w:val="0"/>
                <w:kern w:val="0"/>
                <w:sz w:val="24"/>
                <w:szCs w:val="24"/>
              </w:rPr>
              <w:t>（3）支持限制</w:t>
            </w:r>
            <w:r>
              <w:rPr>
                <w:rFonts w:hint="eastAsia" w:ascii="宋体-简" w:hAnsi="宋体-简" w:eastAsia="宋体-简" w:cs="宋体"/>
                <w:b w:val="0"/>
                <w:bCs w:val="0"/>
                <w:kern w:val="0"/>
                <w:sz w:val="24"/>
                <w:szCs w:val="24"/>
                <w:lang w:val="en-US" w:eastAsia="zh-CN"/>
              </w:rPr>
              <w:t>登录</w:t>
            </w:r>
            <w:r>
              <w:rPr>
                <w:rFonts w:hint="eastAsia" w:ascii="宋体-简" w:hAnsi="宋体-简" w:eastAsia="宋体-简" w:cs="宋体"/>
                <w:b w:val="0"/>
                <w:bCs w:val="0"/>
                <w:kern w:val="0"/>
                <w:sz w:val="24"/>
                <w:szCs w:val="24"/>
              </w:rPr>
              <w:t>IP。</w:t>
            </w:r>
          </w:p>
          <w:p>
            <w:pPr>
              <w:spacing w:line="360" w:lineRule="auto"/>
              <w:rPr>
                <w:rFonts w:hint="eastAsia" w:ascii="宋体-简" w:hAnsi="宋体-简" w:eastAsia="宋体-简" w:cs="宋体"/>
                <w:b w:val="0"/>
                <w:bCs w:val="0"/>
                <w:kern w:val="0"/>
                <w:sz w:val="24"/>
                <w:szCs w:val="24"/>
              </w:rPr>
            </w:pPr>
            <w:r>
              <w:rPr>
                <w:rFonts w:hint="eastAsia" w:ascii="宋体-简" w:hAnsi="宋体-简" w:eastAsia="宋体-简" w:cs="宋体"/>
                <w:b w:val="0"/>
                <w:bCs w:val="0"/>
                <w:kern w:val="0"/>
                <w:sz w:val="24"/>
                <w:szCs w:val="24"/>
              </w:rPr>
              <w:t>操作审计：</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（1）支持记录每次操作的客户端IP、账号、时间、操作设备、操作对象类型、操作内容。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FFFFFF"/>
            <w:noWrap w:val="0"/>
            <w:vAlign w:val="center"/>
          </w:tcPr>
          <w:p>
            <w:pPr>
              <w:spacing w:line="360" w:lineRule="auto"/>
              <w:jc w:val="center"/>
              <w:rPr>
                <w:rFonts w:hint="default" w:ascii="宋体-简" w:hAnsi="宋体-简" w:eastAsia="宋体-简" w:cs="宋体"/>
                <w:kern w:val="0"/>
                <w:sz w:val="24"/>
                <w:szCs w:val="24"/>
                <w:lang w:val="en-US" w:eastAsia="zh-CN"/>
              </w:rPr>
            </w:pPr>
            <w:r>
              <w:rPr>
                <w:rFonts w:hint="eastAsia" w:ascii="宋体-简" w:hAnsi="宋体-简" w:eastAsia="宋体-简" w:cs="宋体"/>
                <w:kern w:val="0"/>
                <w:sz w:val="24"/>
                <w:szCs w:val="24"/>
                <w:lang w:val="en-US" w:eastAsia="zh-CN"/>
              </w:rPr>
              <w:t>8</w:t>
            </w:r>
          </w:p>
        </w:tc>
        <w:tc>
          <w:tcPr>
            <w:tcW w:w="1950" w:type="dxa"/>
            <w:shd w:val="clear" w:color="auto" w:fill="FFFFFF"/>
            <w:noWrap w:val="0"/>
            <w:vAlign w:val="center"/>
          </w:tcPr>
          <w:p>
            <w:pPr>
              <w:spacing w:line="360" w:lineRule="auto"/>
              <w:jc w:val="center"/>
              <w:rPr>
                <w:rFonts w:hint="eastAsia" w:ascii="宋体-简" w:hAnsi="宋体-简" w:eastAsia="宋体-简" w:cs="宋体"/>
                <w:kern w:val="0"/>
                <w:sz w:val="24"/>
                <w:szCs w:val="24"/>
              </w:rPr>
            </w:pPr>
            <w:r>
              <w:rPr>
                <w:rFonts w:hint="eastAsia" w:ascii="宋体-简" w:hAnsi="宋体-简" w:eastAsia="宋体-简" w:cs="宋体"/>
                <w:kern w:val="0"/>
                <w:sz w:val="24"/>
                <w:szCs w:val="24"/>
              </w:rPr>
              <w:t>配置优化管理</w:t>
            </w:r>
          </w:p>
        </w:tc>
        <w:tc>
          <w:tcPr>
            <w:tcW w:w="6443" w:type="dxa"/>
            <w:shd w:val="clear" w:color="auto" w:fill="FFFFFF"/>
            <w:noWrap w:val="0"/>
            <w:vAlign w:val="top"/>
          </w:tcPr>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w:t>
            </w:r>
            <w:r>
              <w:rPr>
                <w:rFonts w:hint="eastAsia" w:ascii="宋体-简" w:hAnsi="宋体-简" w:eastAsia="宋体-简" w:cs="宋体"/>
                <w:kern w:val="0"/>
                <w:sz w:val="24"/>
                <w:szCs w:val="24"/>
                <w:lang w:val="en-US" w:eastAsia="zh-CN"/>
              </w:rPr>
              <w:t>1</w:t>
            </w:r>
            <w:r>
              <w:rPr>
                <w:rFonts w:hint="eastAsia" w:ascii="宋体-简" w:hAnsi="宋体-简" w:eastAsia="宋体-简" w:cs="宋体"/>
                <w:kern w:val="0"/>
                <w:sz w:val="24"/>
                <w:szCs w:val="24"/>
              </w:rPr>
              <w:t>）支持服务池未被调用的配置分析并生成报表；</w:t>
            </w:r>
          </w:p>
          <w:p>
            <w:pPr>
              <w:spacing w:line="360" w:lineRule="auto"/>
              <w:rPr>
                <w:rFonts w:hint="eastAsia" w:ascii="宋体-简" w:hAnsi="宋体-简" w:eastAsia="宋体-简" w:cs="宋体"/>
                <w:kern w:val="0"/>
                <w:sz w:val="24"/>
                <w:szCs w:val="24"/>
              </w:rPr>
            </w:pPr>
            <w:r>
              <w:rPr>
                <w:rFonts w:hint="eastAsia" w:ascii="宋体-简" w:hAnsi="宋体-简" w:eastAsia="宋体-简" w:cs="宋体"/>
                <w:kern w:val="0"/>
                <w:sz w:val="24"/>
                <w:szCs w:val="24"/>
              </w:rPr>
              <w:t>（</w:t>
            </w:r>
            <w:r>
              <w:rPr>
                <w:rFonts w:hint="eastAsia" w:ascii="宋体-简" w:hAnsi="宋体-简" w:eastAsia="宋体-简" w:cs="宋体"/>
                <w:kern w:val="0"/>
                <w:sz w:val="24"/>
                <w:szCs w:val="24"/>
                <w:lang w:val="en-US" w:eastAsia="zh-CN"/>
              </w:rPr>
              <w:t>2</w:t>
            </w:r>
            <w:r>
              <w:rPr>
                <w:rFonts w:hint="eastAsia" w:ascii="宋体-简" w:hAnsi="宋体-简" w:eastAsia="宋体-简" w:cs="宋体"/>
                <w:kern w:val="0"/>
                <w:sz w:val="24"/>
                <w:szCs w:val="24"/>
              </w:rPr>
              <w:t>）支持服务池单节点的配置分析并生成报表；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FFFFFF"/>
            <w:noWrap w:val="0"/>
            <w:vAlign w:val="center"/>
          </w:tcPr>
          <w:p>
            <w:pPr>
              <w:spacing w:line="360" w:lineRule="auto"/>
              <w:jc w:val="center"/>
              <w:rPr>
                <w:rFonts w:hint="default" w:ascii="宋体-简" w:hAnsi="宋体-简" w:eastAsia="宋体-简" w:cs="宋体"/>
                <w:kern w:val="0"/>
                <w:sz w:val="24"/>
                <w:szCs w:val="24"/>
                <w:lang w:val="en-US" w:eastAsia="zh-CN"/>
              </w:rPr>
            </w:pPr>
            <w:r>
              <w:rPr>
                <w:rFonts w:hint="eastAsia" w:ascii="宋体-简" w:hAnsi="宋体-简" w:eastAsia="宋体-简" w:cs="宋体"/>
                <w:kern w:val="0"/>
                <w:sz w:val="24"/>
                <w:szCs w:val="24"/>
                <w:lang w:val="en-US" w:eastAsia="zh-CN"/>
              </w:rPr>
              <w:t>9</w:t>
            </w:r>
          </w:p>
        </w:tc>
        <w:tc>
          <w:tcPr>
            <w:tcW w:w="1950" w:type="dxa"/>
            <w:shd w:val="clear" w:color="auto" w:fill="FFFFFF"/>
            <w:noWrap w:val="0"/>
            <w:vAlign w:val="center"/>
          </w:tcPr>
          <w:p>
            <w:pPr>
              <w:spacing w:line="360" w:lineRule="auto"/>
              <w:jc w:val="center"/>
              <w:rPr>
                <w:rFonts w:hint="default" w:ascii="宋体-简" w:hAnsi="宋体-简" w:eastAsia="宋体-简" w:cs="宋体"/>
                <w:kern w:val="0"/>
                <w:sz w:val="24"/>
                <w:szCs w:val="24"/>
                <w:lang w:val="en-US" w:eastAsia="zh-CN"/>
              </w:rPr>
            </w:pPr>
            <w:r>
              <w:rPr>
                <w:rFonts w:hint="eastAsia" w:ascii="宋体-简" w:hAnsi="宋体-简" w:eastAsia="宋体-简" w:cs="宋体"/>
                <w:kern w:val="0"/>
                <w:sz w:val="24"/>
                <w:szCs w:val="24"/>
                <w:lang w:val="en-US" w:eastAsia="zh-CN"/>
              </w:rPr>
              <w:t>自动化编排</w:t>
            </w:r>
          </w:p>
        </w:tc>
        <w:tc>
          <w:tcPr>
            <w:tcW w:w="6443" w:type="dxa"/>
            <w:shd w:val="clear" w:color="auto" w:fill="FFFFFF"/>
            <w:noWrap w:val="0"/>
            <w:vAlign w:val="top"/>
          </w:tcPr>
          <w:p>
            <w:pPr>
              <w:spacing w:line="360" w:lineRule="auto"/>
              <w:rPr>
                <w:rFonts w:hint="eastAsia" w:ascii="宋体-简" w:hAnsi="宋体-简" w:eastAsia="宋体-简" w:cs="宋体"/>
                <w:kern w:val="0"/>
                <w:sz w:val="24"/>
                <w:szCs w:val="24"/>
                <w:lang w:val="en-US" w:eastAsia="zh-CN"/>
              </w:rPr>
            </w:pPr>
            <w:r>
              <w:rPr>
                <w:rFonts w:hint="eastAsia" w:ascii="宋体-简" w:hAnsi="宋体-简" w:eastAsia="宋体-简" w:cs="宋体"/>
                <w:kern w:val="0"/>
                <w:sz w:val="24"/>
                <w:szCs w:val="24"/>
                <w:lang w:val="en-US" w:eastAsia="zh-CN"/>
              </w:rPr>
              <w:t>（1）支持业务部署模板定义，具备配置预校验、合规检查、回滚等能力，涵盖多场景发布流程,包括但不限于</w:t>
            </w:r>
            <w:r>
              <w:rPr>
                <w:rFonts w:hint="default" w:ascii="宋体-简" w:hAnsi="宋体-简" w:eastAsia="宋体-简" w:cs="宋体"/>
                <w:kern w:val="0"/>
                <w:sz w:val="24"/>
                <w:szCs w:val="24"/>
                <w:lang w:val="en-US" w:eastAsia="zh-CN"/>
              </w:rPr>
              <w:t>数据中心域名发布、LTM业务发布、链路负载发布、互联网应用发布、主备中心之间业务一键切换。</w:t>
            </w:r>
          </w:p>
          <w:p>
            <w:pPr>
              <w:spacing w:line="360" w:lineRule="auto"/>
              <w:rPr>
                <w:rFonts w:hint="default" w:ascii="宋体-简" w:hAnsi="宋体-简" w:eastAsia="宋体-简" w:cs="宋体"/>
                <w:kern w:val="0"/>
                <w:sz w:val="24"/>
                <w:szCs w:val="24"/>
                <w:lang w:val="en-US" w:eastAsia="zh-CN"/>
              </w:rPr>
            </w:pPr>
            <w:r>
              <w:rPr>
                <w:rFonts w:hint="eastAsia" w:ascii="宋体-简" w:hAnsi="宋体-简" w:eastAsia="宋体-简" w:cs="宋体"/>
                <w:kern w:val="0"/>
                <w:sz w:val="24"/>
                <w:szCs w:val="24"/>
                <w:lang w:val="en-US" w:eastAsia="zh-CN"/>
              </w:rPr>
              <w:t>（2）</w:t>
            </w:r>
            <w:r>
              <w:rPr>
                <w:rFonts w:hint="default" w:ascii="宋体-简" w:hAnsi="宋体-简" w:eastAsia="宋体-简" w:cs="宋体"/>
                <w:kern w:val="0"/>
                <w:sz w:val="24"/>
                <w:szCs w:val="24"/>
                <w:lang w:val="en-US" w:eastAsia="zh-CN"/>
              </w:rPr>
              <w:t>自动生成配置后，可以手动下发/定时下发。</w:t>
            </w:r>
          </w:p>
          <w:p>
            <w:pPr>
              <w:spacing w:line="360" w:lineRule="auto"/>
              <w:rPr>
                <w:rFonts w:hint="default"/>
                <w:lang w:val="en-US" w:eastAsia="zh-CN"/>
              </w:rPr>
            </w:pPr>
            <w:r>
              <w:rPr>
                <w:rFonts w:hint="eastAsia" w:ascii="宋体-简" w:hAnsi="宋体-简" w:eastAsia="宋体-简" w:cs="宋体"/>
                <w:kern w:val="0"/>
                <w:sz w:val="24"/>
                <w:szCs w:val="24"/>
                <w:lang w:val="en-US" w:eastAsia="zh-CN"/>
              </w:rPr>
              <w:t>（3）具备制定对接第三方工单系统实现全流程自动化部署能力。</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简">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364B6"/>
    <w:rsid w:val="239337D8"/>
    <w:rsid w:val="2F33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2025-11-24T02:37:00Z</dcterms:created>
  <dc:creator>匿名用户</dc:creator>
  <cp:lastModifiedBy>匿名用户</cp:lastModifiedBy>
  <dcterms:modified xsi:type="dcterms:W3CDTF">2025-11-24T02:37:48Z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51A7E90978134D95971977889EC6780F</vt:lpwstr>
  </property>
</Properties>
</file>